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Times New Roman"/>
          <w:b/>
          <w:bCs/>
          <w:color w:val="00B0F0"/>
          <w:kern w:val="0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Times New Roman"/>
          <w:b/>
          <w:bCs/>
          <w:color w:val="00B0F0"/>
          <w:kern w:val="0"/>
          <w:sz w:val="44"/>
          <w:szCs w:val="44"/>
          <w:lang w:val="en-US" w:eastAsia="zh-CN"/>
        </w:rPr>
        <w:t>企查查VIP账号分配规则</w:t>
      </w:r>
    </w:p>
    <w:p>
      <w:pPr>
        <w:jc w:val="center"/>
        <w:rPr>
          <w:rFonts w:hint="eastAsia" w:ascii="微软雅黑" w:hAnsi="微软雅黑" w:eastAsia="微软雅黑" w:cs="Times New Roman"/>
          <w:b/>
          <w:bCs/>
          <w:color w:val="00B0F0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2022年，省律协集中采购了一批企查查VIP会员，免费发放到各律师事务所作为年度全省律师普惠产品。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具体发放标准是：每家律师事务所专兼职律师人数30人（包含30人）以下的，发放1个账号；31至60人的，发放2个账号；以此类推。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省律协已根据2021年底各市律师、律师事务所数量将企查查VIP账号发放到各市律协，由各市律协为各律师事务发放企查查VIP会员账号。各律师事务所如有问题，可向各市律协反映。</w:t>
      </w:r>
    </w:p>
    <w:tbl>
      <w:tblPr>
        <w:tblStyle w:val="11"/>
        <w:tblW w:w="8550" w:type="dxa"/>
        <w:tblInd w:w="-3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445"/>
        <w:gridCol w:w="3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联系人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杭州市律协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邹艺楠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0571-87557306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宁波市律协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印剑萍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0574-87296866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温州市律协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池智慧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0577-88328850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湖州市律协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马  鑫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0572-2057183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嘉兴市律协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潘  虹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0573-82680035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绍兴市律协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孙舒雯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0575-85156493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金华市律协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叶剑兰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 xml:space="preserve">0579-82237105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衢州市律协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马梦璇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0570-3080691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舟山市律协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吴  丹</w:t>
            </w:r>
            <w:bookmarkStart w:id="5" w:name="_GoBack"/>
            <w:bookmarkEnd w:id="5"/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0580-2020695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台州市律协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陈艳青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0576-88603596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丽水市律协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余尚东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0578-2106118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270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义乌市律协</w:t>
            </w:r>
          </w:p>
        </w:tc>
        <w:tc>
          <w:tcPr>
            <w:tcW w:w="24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楼  敏</w:t>
            </w:r>
          </w:p>
        </w:tc>
        <w:tc>
          <w:tcPr>
            <w:tcW w:w="34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0579-85318290</w:t>
            </w:r>
          </w:p>
        </w:tc>
      </w:tr>
    </w:tbl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  <w:r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  <w:drawing>
          <wp:inline distT="0" distB="0" distL="0" distR="0">
            <wp:extent cx="2190750" cy="2190750"/>
            <wp:effectExtent l="0" t="0" r="0" b="0"/>
            <wp:docPr id="14" name="图片 8" descr="企查查专业版-P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 descr="企查查专业版-PPT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56"/>
          <w:szCs w:val="56"/>
        </w:rPr>
      </w:pPr>
      <w:r>
        <w:rPr>
          <w:rFonts w:hint="eastAsia" w:ascii="微软雅黑" w:hAnsi="微软雅黑" w:eastAsia="微软雅黑" w:cs="Times New Roman"/>
          <w:b/>
          <w:bCs/>
          <w:color w:val="00B0F0"/>
          <w:kern w:val="0"/>
          <w:sz w:val="56"/>
          <w:szCs w:val="56"/>
        </w:rPr>
        <w:t>企查查</w:t>
      </w: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56"/>
          <w:szCs w:val="56"/>
        </w:rPr>
      </w:pPr>
      <w:r>
        <w:rPr>
          <w:rFonts w:hint="eastAsia" w:ascii="微软雅黑" w:hAnsi="微软雅黑" w:eastAsia="微软雅黑" w:cs="Times New Roman"/>
          <w:b/>
          <w:bCs/>
          <w:color w:val="00B0F0"/>
          <w:kern w:val="0"/>
          <w:sz w:val="56"/>
          <w:szCs w:val="56"/>
        </w:rPr>
        <w:t>企业V</w:t>
      </w:r>
      <w:r>
        <w:rPr>
          <w:rFonts w:ascii="微软雅黑" w:hAnsi="微软雅黑" w:eastAsia="微软雅黑" w:cs="Times New Roman"/>
          <w:b/>
          <w:bCs/>
          <w:color w:val="00B0F0"/>
          <w:kern w:val="0"/>
          <w:sz w:val="56"/>
          <w:szCs w:val="56"/>
        </w:rPr>
        <w:t>IP</w:t>
      </w: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56"/>
          <w:szCs w:val="56"/>
        </w:rPr>
      </w:pPr>
      <w:r>
        <w:rPr>
          <w:rFonts w:hint="eastAsia" w:ascii="微软雅黑" w:hAnsi="微软雅黑" w:eastAsia="微软雅黑" w:cs="Times New Roman"/>
          <w:b/>
          <w:bCs/>
          <w:color w:val="00B0F0"/>
          <w:kern w:val="0"/>
          <w:sz w:val="56"/>
          <w:szCs w:val="56"/>
        </w:rPr>
        <w:t>使用操作说明</w:t>
      </w: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p>
      <w:pPr>
        <w:jc w:val="center"/>
        <w:rPr>
          <w:rFonts w:ascii="微软雅黑" w:hAnsi="微软雅黑" w:eastAsia="微软雅黑" w:cs="Times New Roman"/>
          <w:b/>
          <w:bCs/>
          <w:color w:val="00B0F0"/>
          <w:kern w:val="0"/>
          <w:sz w:val="32"/>
          <w:szCs w:val="32"/>
        </w:rPr>
      </w:pPr>
    </w:p>
    <w:sdt>
      <w:sdt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id w:val="147464991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25"/>
            <w:tabs>
              <w:tab w:val="right" w:leader="dot" w:pos="8306"/>
            </w:tabs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TOC \o "1-1" \h \u </w:instrText>
          </w:r>
          <w:r>
            <w:rPr>
              <w:b/>
            </w:rPr>
            <w:fldChar w:fldCharType="separate"/>
          </w:r>
          <w:r>
            <w:fldChar w:fldCharType="begin"/>
          </w:r>
          <w:r>
            <w:instrText xml:space="preserve"> HYPERLINK \l _Toc20566 </w:instrText>
          </w:r>
          <w:r>
            <w:fldChar w:fldCharType="separate"/>
          </w:r>
          <w:r>
            <w:rPr>
              <w:rFonts w:hint="eastAsia" w:ascii="微软雅黑" w:hAnsi="微软雅黑" w:eastAsia="微软雅黑"/>
              <w:szCs w:val="32"/>
            </w:rPr>
            <w:t>一、产品简介：</w:t>
          </w:r>
          <w:r>
            <w:tab/>
          </w:r>
          <w:r>
            <w:fldChar w:fldCharType="begin"/>
          </w:r>
          <w:r>
            <w:instrText xml:space="preserve"> PAGEREF _Toc20566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2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_Toc2985 </w:instrText>
          </w:r>
          <w:r>
            <w:fldChar w:fldCharType="separate"/>
          </w:r>
          <w:r>
            <w:rPr>
              <w:rFonts w:hint="eastAsia" w:ascii="微软雅黑" w:hAnsi="微软雅黑" w:eastAsia="微软雅黑"/>
              <w:szCs w:val="32"/>
            </w:rPr>
            <w:t>二、产品下载：</w:t>
          </w:r>
          <w:r>
            <w:tab/>
          </w:r>
          <w:r>
            <w:fldChar w:fldCharType="begin"/>
          </w:r>
          <w:r>
            <w:instrText xml:space="preserve"> PAGEREF _Toc2985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2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_Toc28413 </w:instrText>
          </w:r>
          <w:r>
            <w:fldChar w:fldCharType="separate"/>
          </w:r>
          <w:r>
            <w:rPr>
              <w:rFonts w:hint="eastAsia" w:ascii="微软雅黑" w:hAnsi="微软雅黑" w:eastAsia="微软雅黑"/>
              <w:szCs w:val="32"/>
            </w:rPr>
            <w:t>三、企查查账号登录：</w:t>
          </w:r>
          <w:r>
            <w:tab/>
          </w:r>
          <w:r>
            <w:fldChar w:fldCharType="begin"/>
          </w:r>
          <w:r>
            <w:instrText xml:space="preserve"> PAGEREF _Toc28413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_Toc2951 </w:instrText>
          </w:r>
          <w:r>
            <w:fldChar w:fldCharType="separate"/>
          </w:r>
          <w:r>
            <w:rPr>
              <w:rFonts w:hint="eastAsia" w:ascii="微软雅黑" w:hAnsi="微软雅黑" w:eastAsia="微软雅黑"/>
              <w:szCs w:val="32"/>
              <w:lang w:val="en-US" w:eastAsia="zh-CN"/>
            </w:rPr>
            <w:t>四、产品功能介绍</w:t>
          </w:r>
          <w:r>
            <w:tab/>
          </w:r>
          <w:r>
            <w:fldChar w:fldCharType="begin"/>
          </w:r>
          <w:r>
            <w:instrText xml:space="preserve"> PAGEREF _Toc2951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2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_Toc3854 </w:instrText>
          </w:r>
          <w:r>
            <w:fldChar w:fldCharType="separate"/>
          </w:r>
          <w:r>
            <w:rPr>
              <w:rFonts w:hint="eastAsia" w:ascii="微软雅黑" w:hAnsi="微软雅黑" w:eastAsia="微软雅黑" w:cstheme="minorBidi"/>
              <w:bCs/>
              <w:kern w:val="44"/>
              <w:szCs w:val="32"/>
              <w:lang w:val="en-US" w:eastAsia="zh-CN" w:bidi="ar-SA"/>
            </w:rPr>
            <w:t>五、 问题反馈</w:t>
          </w:r>
          <w:r>
            <w:tab/>
          </w:r>
          <w:r>
            <w:fldChar w:fldCharType="begin"/>
          </w:r>
          <w:r>
            <w:instrText xml:space="preserve"> PAGEREF _Toc3854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sectPr>
              <w:footerReference r:id="rId3" w:type="default"/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fldChar w:fldCharType="end"/>
          </w:r>
        </w:p>
      </w:sdtContent>
    </w:sdt>
    <w:p/>
    <w:p>
      <w:pPr>
        <w:pStyle w:val="2"/>
        <w:rPr>
          <w:rFonts w:ascii="微软雅黑" w:hAnsi="微软雅黑" w:eastAsia="微软雅黑"/>
          <w:color w:val="auto"/>
          <w:sz w:val="32"/>
          <w:szCs w:val="32"/>
        </w:rPr>
      </w:pPr>
      <w:bookmarkStart w:id="0" w:name="_Toc20566"/>
      <w:r>
        <w:rPr>
          <w:rFonts w:hint="eastAsia" w:ascii="微软雅黑" w:hAnsi="微软雅黑" w:eastAsia="微软雅黑"/>
          <w:color w:val="auto"/>
          <w:sz w:val="32"/>
          <w:szCs w:val="32"/>
        </w:rPr>
        <w:t>一、产品简介：</w:t>
      </w:r>
      <w:bookmarkEnd w:id="0"/>
    </w:p>
    <w:p>
      <w:pPr>
        <w:pStyle w:val="16"/>
        <w:ind w:firstLine="480"/>
        <w:rPr>
          <w:rFonts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企查查</w:t>
      </w:r>
      <w:r>
        <w:rPr>
          <w:rStyle w:val="17"/>
          <w:rFonts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-</w:t>
      </w: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企业信用信息查询平台，是一款查询企业多维信息，监控企业风险，帮助寻找业务商机的有效工具。</w:t>
      </w:r>
    </w:p>
    <w:p>
      <w:pPr>
        <w:ind w:firstLine="440" w:firstLineChars="200"/>
        <w:jc w:val="left"/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企查查VIP，是面向TOC端用户，旨在为个人用户提供快速获取企业多维信息的服务；</w:t>
      </w:r>
    </w:p>
    <w:p>
      <w:pPr>
        <w:ind w:firstLine="440" w:firstLineChars="200"/>
        <w:jc w:val="left"/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目前企查查APP可通过APP端、PC端、微信端进行登录查询，是一款更全面、更得力、更靠谱的商业助手。</w:t>
      </w:r>
    </w:p>
    <w:p>
      <w:pPr>
        <w:pStyle w:val="2"/>
        <w:rPr>
          <w:rFonts w:hint="eastAsia" w:ascii="微软雅黑" w:hAnsi="微软雅黑" w:eastAsia="微软雅黑"/>
          <w:color w:val="auto"/>
          <w:sz w:val="32"/>
          <w:szCs w:val="32"/>
        </w:rPr>
      </w:pPr>
      <w:bookmarkStart w:id="1" w:name="_Toc2985"/>
      <w:r>
        <w:rPr>
          <w:rFonts w:hint="eastAsia" w:ascii="微软雅黑" w:hAnsi="微软雅黑" w:eastAsia="微软雅黑"/>
          <w:color w:val="auto"/>
          <w:sz w:val="32"/>
          <w:szCs w:val="32"/>
        </w:rPr>
        <w:t>二、产品下载：</w:t>
      </w:r>
      <w:bookmarkEnd w:id="1"/>
    </w:p>
    <w:p>
      <w:pP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1、进入各大应用市场，如百度手机助手、应用宝、豌豆荚（</w:t>
      </w:r>
      <w: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Android系统），Apple Store（ios系统）均可下载，搜索“</w:t>
      </w:r>
      <w:r>
        <w:rPr>
          <w:rFonts w:hint="eastAsia" w:ascii="微软雅黑" w:hAnsi="微软雅黑" w:eastAsia="微软雅黑" w:cs="Times New Roman"/>
          <w:b/>
          <w:bCs/>
          <w:color w:val="FF0000"/>
          <w:kern w:val="0"/>
          <w:sz w:val="22"/>
        </w:rPr>
        <w:t>企查查</w:t>
      </w:r>
      <w: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”下载即可。</w:t>
      </w:r>
    </w:p>
    <w:p>
      <w:pP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打开微信“扫一扫”功能，扫描下方二维码，均可下载。</w:t>
      </w:r>
    </w:p>
    <w:p>
      <w:pP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/>
        </w:rPr>
        <w:drawing>
          <wp:inline distT="0" distB="0" distL="0" distR="0">
            <wp:extent cx="1552575" cy="15430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 xml:space="preserve">电脑端登录 </w:t>
      </w:r>
      <w: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网址：</w:t>
      </w:r>
      <w:r>
        <w:fldChar w:fldCharType="begin"/>
      </w:r>
      <w:r>
        <w:instrText xml:space="preserve"> HYPERLINK "https://www.qcc.com/" </w:instrText>
      </w:r>
      <w:r>
        <w:fldChar w:fldCharType="separate"/>
      </w:r>
      <w:r>
        <w:rPr>
          <w:rStyle w:val="14"/>
          <w:rFonts w:hint="eastAsia"/>
        </w:rPr>
        <w:t>https://www.qcc.com/</w:t>
      </w:r>
      <w:r>
        <w:rPr>
          <w:rStyle w:val="14"/>
          <w:rFonts w:hint="eastAsia"/>
        </w:rPr>
        <w:fldChar w:fldCharType="end"/>
      </w:r>
    </w:p>
    <w:p>
      <w:pP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/>
          <w:bCs/>
          <w:color w:val="00B0F0"/>
          <w:kern w:val="0"/>
          <w:sz w:val="24"/>
          <w:szCs w:val="24"/>
        </w:rPr>
        <w:t>T</w:t>
      </w:r>
      <w:r>
        <w:rPr>
          <w:rFonts w:ascii="微软雅黑" w:hAnsi="微软雅黑" w:eastAsia="微软雅黑" w:cs="Times New Roman"/>
          <w:b/>
          <w:bCs/>
          <w:color w:val="00B0F0"/>
          <w:kern w:val="0"/>
          <w:sz w:val="24"/>
          <w:szCs w:val="24"/>
        </w:rPr>
        <w:t>ips</w:t>
      </w: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：手机APP已经下载好的无需重新下载，用手机A</w:t>
      </w:r>
      <w: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PP</w:t>
      </w:r>
      <w:r>
        <w:rPr>
          <w:rFonts w:hint="eastAsia"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  <w:t>或电脑端网址直接快捷登录以手机验证码登录即可，后期登录密码可以进行修改。</w:t>
      </w:r>
    </w:p>
    <w:p>
      <w:pP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</w:p>
    <w:p>
      <w:pPr>
        <w:rPr>
          <w:rFonts w:ascii="微软雅黑" w:hAnsi="微软雅黑" w:eastAsia="微软雅黑" w:cs="Times New Roman"/>
          <w:color w:val="000000" w:themeColor="text1"/>
          <w:kern w:val="0"/>
          <w:sz w:val="22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hint="eastAsia" w:ascii="微软雅黑" w:hAnsi="微软雅黑" w:eastAsia="微软雅黑"/>
          <w:color w:val="auto"/>
          <w:sz w:val="32"/>
          <w:szCs w:val="32"/>
        </w:rPr>
      </w:pPr>
      <w:bookmarkStart w:id="2" w:name="_Toc28413"/>
      <w:r>
        <w:rPr>
          <w:rFonts w:hint="eastAsia" w:ascii="微软雅黑" w:hAnsi="微软雅黑" w:eastAsia="微软雅黑"/>
          <w:color w:val="auto"/>
          <w:sz w:val="32"/>
          <w:szCs w:val="32"/>
        </w:rPr>
        <w:t>三、企查查账号登录：</w:t>
      </w:r>
      <w:bookmarkEnd w:id="2"/>
    </w:p>
    <w:p>
      <w:pPr>
        <w:pStyle w:val="16"/>
        <w:ind w:firstLine="480"/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登陆企查查官网：</w:t>
      </w: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instrText xml:space="preserve"> HYPERLINK "https://www.qichacha.com/，" </w:instrText>
      </w: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https://www.qcc.com/，</w:t>
      </w: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微软雅黑" w:hAnsi="微软雅黑" w:eastAsia="微软雅黑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点击登陆</w:t>
      </w:r>
    </w:p>
    <w:p>
      <w:pPr>
        <w:rPr>
          <w:rFonts w:ascii="微软雅黑" w:hAnsi="微软雅黑" w:eastAsia="微软雅黑"/>
        </w:rPr>
      </w:pPr>
      <w:r>
        <w:drawing>
          <wp:inline distT="0" distB="0" distL="114300" distR="114300">
            <wp:extent cx="5267325" cy="1476375"/>
            <wp:effectExtent l="0" t="0" r="9525" b="952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" w:hAnsi="微软雅黑" w:eastAsia="微软雅黑" w:cs="Times New Roman"/>
          <w:sz w:val="22"/>
        </w:rPr>
      </w:pPr>
      <w:r>
        <w:drawing>
          <wp:inline distT="0" distB="0" distL="114300" distR="114300">
            <wp:extent cx="5269230" cy="3340735"/>
            <wp:effectExtent l="0" t="0" r="7620" b="12065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" w:hAnsi="微软雅黑" w:eastAsia="微软雅黑" w:cs="Times New Roman"/>
          <w:sz w:val="22"/>
        </w:rPr>
      </w:pPr>
      <w:r>
        <w:rPr>
          <w:rFonts w:hint="eastAsia" w:ascii="微软雅黑" w:hAnsi="微软雅黑" w:eastAsia="微软雅黑" w:cs="Times New Roman"/>
          <w:sz w:val="22"/>
        </w:rPr>
        <w:t>第一次登陆均用</w:t>
      </w:r>
      <w:r>
        <w:rPr>
          <w:rFonts w:hint="eastAsia" w:ascii="微软雅黑" w:hAnsi="微软雅黑" w:eastAsia="微软雅黑" w:cs="Times New Roman"/>
          <w:color w:val="FF0000"/>
          <w:sz w:val="22"/>
        </w:rPr>
        <w:t>手机验证码登录，</w:t>
      </w:r>
      <w:r>
        <w:rPr>
          <w:rFonts w:hint="eastAsia" w:ascii="微软雅黑" w:hAnsi="微软雅黑" w:eastAsia="微软雅黑" w:cs="Times New Roman"/>
          <w:sz w:val="22"/>
        </w:rPr>
        <w:t>不可以用微信、扣扣，微博一键登录，每个会员账号是一个独立的手机号，登录后期可以自行设置密码。</w:t>
      </w:r>
    </w:p>
    <w:p/>
    <w:p>
      <w:pPr>
        <w:pStyle w:val="2"/>
        <w:rPr>
          <w:rFonts w:hint="eastAsia" w:ascii="微软雅黑" w:hAnsi="微软雅黑" w:eastAsia="微软雅黑"/>
          <w:color w:val="auto"/>
          <w:sz w:val="32"/>
          <w:szCs w:val="32"/>
          <w:lang w:val="en-US" w:eastAsia="zh-CN"/>
        </w:rPr>
      </w:pPr>
      <w:bookmarkStart w:id="3" w:name="_Toc2951"/>
      <w:r>
        <w:rPr>
          <w:rFonts w:hint="eastAsia" w:ascii="微软雅黑" w:hAnsi="微软雅黑" w:eastAsia="微软雅黑"/>
          <w:color w:val="auto"/>
          <w:sz w:val="32"/>
          <w:szCs w:val="32"/>
          <w:lang w:val="en-US" w:eastAsia="zh-CN"/>
        </w:rPr>
        <w:t>四、产品功能介绍</w:t>
      </w:r>
      <w:bookmarkEnd w:id="3"/>
    </w:p>
    <w:p>
      <w:pPr>
        <w:pStyle w:val="16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1、企业数据查询</w:t>
      </w:r>
    </w:p>
    <w:p>
      <w:pPr>
        <w:pStyle w:val="16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查询企业全维度数据，可获取的数据包括：基本信息、法律诉讼、经营风险、经营信息、企业发展、知识产权、新闻公告、历史信息等</w:t>
      </w:r>
    </w:p>
    <w:p>
      <w:pPr>
        <w:pStyle w:val="16"/>
        <w:ind w:firstLine="480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1）通过企业名称、关键字、产品信息、地址、联系方式、统一信用代码等检索方式查询企业</w:t>
      </w:r>
    </w:p>
    <w:p>
      <w:pPr>
        <w:pStyle w:val="16"/>
        <w:ind w:firstLine="480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2）支持查询企业高管、查询官司、查询企业关系</w:t>
      </w:r>
    </w:p>
    <w:p>
      <w:pPr>
        <w:pStyle w:val="16"/>
        <w:ind w:firstLine="480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3）支持关键字模糊匹配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568315" cy="3030855"/>
            <wp:effectExtent l="0" t="0" r="6985" b="444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8315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0" w:leftChars="0" w:firstLine="0" w:firstLineChars="0"/>
        <w:rPr>
          <w:rFonts w:ascii="微软雅黑" w:hAnsi="微软雅黑" w:eastAsia="微软雅黑" w:cs="Times New Roman"/>
          <w:sz w:val="22"/>
        </w:rPr>
      </w:pPr>
      <w:r>
        <w:rPr>
          <w:rFonts w:hint="eastAsia" w:ascii="微软雅黑" w:hAnsi="微软雅黑" w:eastAsia="微软雅黑" w:cs="Times New Roman"/>
          <w:sz w:val="22"/>
        </w:rPr>
        <w:t xml:space="preserve">可查询企业全维度数据 </w:t>
      </w:r>
      <w:r>
        <w:rPr>
          <w:rFonts w:ascii="微软雅黑" w:hAnsi="微软雅黑" w:eastAsia="微软雅黑" w:cs="Times New Roman"/>
          <w:sz w:val="22"/>
        </w:rPr>
        <w:t xml:space="preserve">    </w:t>
      </w:r>
    </w:p>
    <w:p>
      <w:pPr>
        <w:pStyle w:val="15"/>
        <w:tabs>
          <w:tab w:val="left" w:pos="1337"/>
        </w:tabs>
        <w:ind w:left="0" w:leftChars="0" w:firstLine="0" w:firstLineChars="0"/>
      </w:pPr>
      <w:r>
        <w:drawing>
          <wp:inline distT="0" distB="0" distL="114300" distR="114300">
            <wp:extent cx="5699125" cy="2035810"/>
            <wp:effectExtent l="0" t="0" r="3175" b="8890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912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0" w:leftChars="0" w:firstLine="0" w:firstLineChars="0"/>
      </w:pPr>
    </w:p>
    <w:p>
      <w:pPr>
        <w:pStyle w:val="16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2、</w:t>
      </w:r>
    </w:p>
    <w:p>
      <w:pPr>
        <w:pStyle w:val="16"/>
        <w:numPr>
          <w:ilvl w:val="0"/>
          <w:numId w:val="2"/>
        </w:numP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企业图谱获取</w:t>
      </w:r>
    </w:p>
    <w:p>
      <w:pPr>
        <w:pStyle w:val="16"/>
        <w:numPr>
          <w:ilvl w:val="0"/>
          <w:numId w:val="0"/>
        </w:numP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可直接获取企业相关图谱，包括：关系图谱、企业图谱、股权穿透图、股权结构图、企业收益股东、企业股权分布、关联方认定图、疑似实际控制人</w:t>
      </w:r>
    </w:p>
    <w:p>
      <w:pPr>
        <w:pStyle w:val="16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关系图谱：</w:t>
      </w:r>
    </w:p>
    <w:p>
      <w:pPr>
        <w:pStyle w:val="15"/>
        <w:tabs>
          <w:tab w:val="left" w:pos="1337"/>
        </w:tabs>
        <w:ind w:left="0" w:leftChars="0" w:firstLine="0" w:firstLineChars="0"/>
      </w:pPr>
      <w:r>
        <w:drawing>
          <wp:inline distT="0" distB="0" distL="114300" distR="114300">
            <wp:extent cx="5936615" cy="2301875"/>
            <wp:effectExtent l="0" t="0" r="6985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0" w:leftChars="0" w:firstLine="0" w:firstLineChars="0"/>
      </w:pPr>
    </w:p>
    <w:p>
      <w:pPr>
        <w:pStyle w:val="15"/>
        <w:tabs>
          <w:tab w:val="left" w:pos="1337"/>
        </w:tabs>
        <w:ind w:left="0" w:leftChars="0" w:firstLine="0" w:firstLineChars="0"/>
        <w:rPr>
          <w:rFonts w:hint="eastAsia"/>
        </w:rPr>
      </w:pPr>
      <w:r>
        <w:rPr>
          <w:rFonts w:hint="eastAsia"/>
        </w:rPr>
        <w:t>股权穿透图：</w:t>
      </w:r>
    </w:p>
    <w:p>
      <w:pPr>
        <w:pStyle w:val="15"/>
        <w:tabs>
          <w:tab w:val="left" w:pos="1337"/>
        </w:tabs>
        <w:ind w:left="0" w:leftChars="0" w:firstLine="0" w:firstLineChars="0"/>
        <w:rPr>
          <w:rFonts w:ascii="微软雅黑" w:hAnsi="微软雅黑" w:eastAsia="微软雅黑" w:cs="Times New Roman"/>
          <w:sz w:val="22"/>
        </w:rPr>
      </w:pPr>
      <w:r>
        <w:drawing>
          <wp:inline distT="0" distB="0" distL="114300" distR="114300">
            <wp:extent cx="5934075" cy="2192020"/>
            <wp:effectExtent l="0" t="0" r="9525" b="508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Times New Roman"/>
          <w:sz w:val="22"/>
        </w:rPr>
        <w:t xml:space="preserve">                                      </w:t>
      </w:r>
    </w:p>
    <w:p>
      <w:pPr>
        <w:pStyle w:val="16"/>
        <w:rPr>
          <w:rFonts w:hint="default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3、报告下载</w:t>
      </w:r>
    </w:p>
    <w:p>
      <w:pPr>
        <w:pStyle w:val="16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  <w:t>可下载多种报告：股权穿透报告基础版、企业信用报告专业版、董监高投资任职及风险报告、招投标信用报告。</w:t>
      </w:r>
    </w:p>
    <w:p>
      <w:pPr>
        <w:pStyle w:val="16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批量查询信用报告：</w:t>
      </w:r>
    </w:p>
    <w:p>
      <w:pP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主页——应用——批量查询——可下载模板批量导入需要查询的企业名录</w:t>
      </w: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每次导入200家，最多可导入导出1000家，点击刷新，查询到最新的报告</w:t>
      </w:r>
    </w:p>
    <w:p>
      <w:pPr>
        <w:pStyle w:val="15"/>
        <w:tabs>
          <w:tab w:val="left" w:pos="1337"/>
        </w:tabs>
        <w:ind w:left="360" w:firstLine="0" w:firstLineChars="0"/>
        <w:rPr>
          <w:rFonts w:ascii="微软雅黑" w:hAnsi="微软雅黑" w:eastAsia="微软雅黑" w:cs="Times New Roman"/>
          <w:sz w:val="22"/>
        </w:rPr>
      </w:pPr>
      <w:r>
        <w:drawing>
          <wp:inline distT="0" distB="0" distL="114300" distR="114300">
            <wp:extent cx="4946650" cy="4965700"/>
            <wp:effectExtent l="0" t="0" r="635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46650" cy="496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360" w:firstLine="0" w:firstLineChars="0"/>
        <w:rPr>
          <w:rFonts w:ascii="微软雅黑" w:hAnsi="微软雅黑" w:eastAsia="微软雅黑" w:cs="Times New Roman"/>
          <w:sz w:val="22"/>
        </w:rPr>
      </w:pPr>
      <w:r>
        <w:rPr>
          <w:rFonts w:ascii="微软雅黑" w:hAnsi="微软雅黑" w:eastAsia="微软雅黑"/>
        </w:rPr>
        <w:drawing>
          <wp:inline distT="0" distB="0" distL="0" distR="0">
            <wp:extent cx="5274310" cy="1828165"/>
            <wp:effectExtent l="0" t="0" r="889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360" w:firstLine="0" w:firstLineChars="0"/>
        <w:rPr>
          <w:rFonts w:ascii="微软雅黑" w:hAnsi="微软雅黑" w:eastAsia="微软雅黑" w:cs="Times New Roman"/>
          <w:sz w:val="22"/>
        </w:rPr>
      </w:pPr>
    </w:p>
    <w:p>
      <w:pPr>
        <w:pStyle w:val="16"/>
        <w:rPr>
          <w:rFonts w:hint="eastAsia" w:ascii="微软雅黑" w:hAnsi="微软雅黑" w:eastAsia="微软雅黑"/>
          <w:color w:val="000000" w:themeColor="text1"/>
          <w:sz w:val="22"/>
          <w:szCs w:val="2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4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4、监控管家：</w:t>
      </w:r>
    </w:p>
    <w:p>
      <w:pPr>
        <w:ind w:firstLine="220" w:firstLineChars="10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批量导入：可批量导入需要监控的企业，从工商变更，司法诉讼，经营风险，经营状况进行监控，可监控100家企业及100位人员</w:t>
      </w:r>
    </w:p>
    <w:p>
      <w:pPr>
        <w:ind w:firstLine="210" w:firstLineChars="100"/>
        <w:rPr>
          <w:rFonts w:ascii="微软雅黑" w:hAnsi="微软雅黑" w:eastAsia="微软雅黑"/>
          <w:b/>
          <w:bCs/>
          <w:color w:val="00B0F0"/>
          <w:sz w:val="22"/>
          <w:szCs w:val="24"/>
        </w:rPr>
      </w:pPr>
      <w:r>
        <w:drawing>
          <wp:inline distT="0" distB="0" distL="114300" distR="114300">
            <wp:extent cx="5272405" cy="2252345"/>
            <wp:effectExtent l="0" t="0" r="4445" b="14605"/>
            <wp:docPr id="3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5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监控动态：</w:t>
      </w: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1）可通过风险动态查看监控企业的风险变更情况，点击详情可查看风险的详情况</w:t>
      </w: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2）同时可针对风险动态从监控对象、风险等级、风险类型、时间选择、分组进行选择，便于查看</w:t>
      </w: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3）同时针对风险动态可进行导出</w:t>
      </w:r>
    </w:p>
    <w:p>
      <w:pPr>
        <w:pStyle w:val="15"/>
        <w:tabs>
          <w:tab w:val="left" w:pos="1337"/>
        </w:tabs>
        <w:ind w:left="360" w:firstLine="0" w:firstLineChars="0"/>
        <w:rPr>
          <w:rFonts w:ascii="微软雅黑" w:hAnsi="微软雅黑" w:eastAsia="微软雅黑" w:cs="Times New Roman"/>
          <w:sz w:val="22"/>
        </w:rPr>
      </w:pPr>
      <w:r>
        <w:drawing>
          <wp:inline distT="0" distB="0" distL="114300" distR="114300">
            <wp:extent cx="5265420" cy="2399665"/>
            <wp:effectExtent l="0" t="0" r="11430" b="635"/>
            <wp:docPr id="3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360" w:firstLine="0" w:firstLineChars="0"/>
      </w:pPr>
      <w:r>
        <w:drawing>
          <wp:inline distT="0" distB="0" distL="114300" distR="114300">
            <wp:extent cx="5263515" cy="2387600"/>
            <wp:effectExtent l="0" t="0" r="13335" b="12700"/>
            <wp:docPr id="3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监控设置：</w:t>
      </w:r>
    </w:p>
    <w:p>
      <w:pPr>
        <w:pStyle w:val="4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1）可设置推送多久之内的数据</w:t>
      </w:r>
    </w:p>
    <w:p>
      <w:pPr>
        <w:pStyle w:val="4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2）可设置风险等级</w:t>
      </w:r>
    </w:p>
    <w:p>
      <w:pPr>
        <w:pStyle w:val="4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3）可设置推送的方式、时间等</w:t>
      </w:r>
    </w:p>
    <w:p>
      <w:pPr>
        <w:pStyle w:val="15"/>
        <w:tabs>
          <w:tab w:val="left" w:pos="1337"/>
        </w:tabs>
        <w:ind w:left="360" w:firstLine="0" w:firstLineChars="0"/>
      </w:pPr>
      <w:r>
        <w:drawing>
          <wp:inline distT="0" distB="0" distL="114300" distR="114300">
            <wp:extent cx="5273675" cy="2468880"/>
            <wp:effectExtent l="0" t="0" r="3175" b="7620"/>
            <wp:docPr id="3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360" w:firstLine="0" w:firstLineChars="0"/>
      </w:pPr>
      <w:r>
        <w:drawing>
          <wp:inline distT="0" distB="0" distL="114300" distR="114300">
            <wp:extent cx="5273040" cy="2774950"/>
            <wp:effectExtent l="0" t="0" r="3810" b="6350"/>
            <wp:docPr id="3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360" w:firstLine="0" w:firstLineChars="0"/>
      </w:pPr>
      <w:r>
        <w:drawing>
          <wp:inline distT="0" distB="0" distL="114300" distR="114300">
            <wp:extent cx="5267325" cy="2740660"/>
            <wp:effectExtent l="0" t="0" r="9525" b="2540"/>
            <wp:docPr id="3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4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5"/>
        <w:tabs>
          <w:tab w:val="left" w:pos="1337"/>
        </w:tabs>
        <w:ind w:left="360" w:firstLine="0" w:firstLineChars="0"/>
      </w:pPr>
    </w:p>
    <w:p>
      <w:pPr>
        <w:pStyle w:val="15"/>
        <w:tabs>
          <w:tab w:val="left" w:pos="1337"/>
        </w:tabs>
        <w:ind w:left="360" w:firstLine="0" w:firstLineChars="0"/>
      </w:pPr>
    </w:p>
    <w:p>
      <w:pPr>
        <w:pStyle w:val="15"/>
        <w:numPr>
          <w:ilvl w:val="0"/>
          <w:numId w:val="0"/>
        </w:numPr>
        <w:tabs>
          <w:tab w:val="left" w:pos="1337"/>
        </w:tabs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5、找关系</w:t>
      </w:r>
    </w:p>
    <w:p>
      <w:pPr>
        <w:pStyle w:val="15"/>
        <w:widowControl w:val="0"/>
        <w:numPr>
          <w:ilvl w:val="0"/>
          <w:numId w:val="0"/>
        </w:numPr>
        <w:tabs>
          <w:tab w:val="left" w:pos="1337"/>
        </w:tabs>
        <w:jc w:val="both"/>
        <w:rPr>
          <w:rFonts w:hint="eastAsia"/>
          <w:lang w:val="en-US" w:eastAsia="zh-CN"/>
        </w:rPr>
      </w:pPr>
    </w:p>
    <w:p>
      <w:pPr>
        <w:pStyle w:val="15"/>
        <w:tabs>
          <w:tab w:val="left" w:pos="1337"/>
        </w:tabs>
        <w:ind w:left="360" w:firstLine="0" w:firstLineChars="0"/>
        <w:rPr>
          <w:rFonts w:hint="default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可查询企业/人员直接是否存在关联关系。</w:t>
      </w:r>
    </w:p>
    <w:p>
      <w:r>
        <w:drawing>
          <wp:inline distT="0" distB="0" distL="114300" distR="114300">
            <wp:extent cx="5273675" cy="1746885"/>
            <wp:effectExtent l="0" t="0" r="9525" b="571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4127500" cy="2927350"/>
            <wp:effectExtent l="0" t="0" r="0" b="635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27500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numPr>
          <w:ilvl w:val="0"/>
          <w:numId w:val="3"/>
        </w:numPr>
        <w:outlineLvl w:val="0"/>
        <w:rPr>
          <w:rFonts w:hint="eastAsia" w:ascii="微软雅黑" w:hAnsi="微软雅黑" w:eastAsia="微软雅黑" w:cstheme="minorBidi"/>
          <w:b/>
          <w:bCs/>
          <w:color w:val="auto"/>
          <w:kern w:val="44"/>
          <w:sz w:val="32"/>
          <w:szCs w:val="32"/>
          <w:lang w:val="en-US" w:eastAsia="zh-CN" w:bidi="ar-SA"/>
        </w:rPr>
      </w:pPr>
      <w:bookmarkStart w:id="4" w:name="_Toc3854"/>
      <w:r>
        <w:rPr>
          <w:rFonts w:hint="eastAsia" w:ascii="微软雅黑" w:hAnsi="微软雅黑" w:eastAsia="微软雅黑" w:cstheme="minorBidi"/>
          <w:b/>
          <w:bCs/>
          <w:color w:val="auto"/>
          <w:kern w:val="44"/>
          <w:sz w:val="32"/>
          <w:szCs w:val="32"/>
          <w:lang w:val="en-US" w:eastAsia="zh-CN" w:bidi="ar-SA"/>
        </w:rPr>
        <w:t>问题反馈</w:t>
      </w:r>
      <w:bookmarkEnd w:id="4"/>
    </w:p>
    <w:p>
      <w:pPr>
        <w:pStyle w:val="15"/>
        <w:tabs>
          <w:tab w:val="left" w:pos="1337"/>
        </w:tabs>
        <w:ind w:left="0" w:leftChars="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在线客服：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2329815"/>
            <wp:effectExtent l="0" t="0" r="10160" b="6985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客服热线：400-928-2212</w:t>
      </w: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工作时间: 周一至周五 9:00-20:00</w:t>
      </w: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客服邮箱：</w:t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instrText xml:space="preserve"> HYPERLINK "mailto:kefu@qichacha.com" </w:instrText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t>kefu@qichacha.com</w:t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5"/>
        <w:tabs>
          <w:tab w:val="left" w:pos="1337"/>
        </w:tabs>
        <w:ind w:left="360" w:firstLine="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2"/>
          <w:szCs w:val="22"/>
          <w:lang w:val="en-US" w:eastAsia="zh-CN" w:bidi="ar-SA"/>
          <w14:textFill>
            <w14:solidFill>
              <w14:schemeClr w14:val="tx1"/>
            </w14:solidFill>
          </w14:textFill>
        </w:rPr>
      </w:pPr>
    </w:p>
    <w:p>
      <w:pPr>
        <w:pStyle w:val="15"/>
        <w:tabs>
          <w:tab w:val="left" w:pos="1337"/>
        </w:tabs>
        <w:ind w:left="0" w:leftChars="0" w:firstLine="0" w:firstLineChars="0"/>
        <w:rPr>
          <w:rFonts w:hint="eastAsia" w:ascii="微软雅黑" w:hAnsi="微软雅黑" w:eastAsia="微软雅黑" w:cstheme="minorBidi"/>
          <w:b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微软雅黑" w:hAnsi="微软雅黑" w:eastAsia="微软雅黑" w:cstheme="minorBidi"/>
          <w:b/>
          <w:bCs/>
          <w:color w:val="auto"/>
          <w:kern w:val="44"/>
          <w:sz w:val="32"/>
          <w:szCs w:val="32"/>
          <w:lang w:val="en-US" w:eastAsia="zh-CN" w:bidi="ar-SA"/>
        </w:rPr>
        <w:t>注意事项：</w:t>
      </w:r>
    </w:p>
    <w:p>
      <w:pPr>
        <w:pStyle w:val="15"/>
        <w:tabs>
          <w:tab w:val="left" w:pos="1337"/>
        </w:tabs>
        <w:ind w:left="0" w:leftChars="0" w:firstLine="480" w:firstLineChars="20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企查查账号仅能在一台设备上登录，若存在一个账号在两台或两台以上同样的设备同时登录的情形，则先登录的账号会无法登录。</w:t>
      </w:r>
    </w:p>
    <w:p>
      <w:pPr>
        <w:pStyle w:val="15"/>
        <w:tabs>
          <w:tab w:val="left" w:pos="1337"/>
        </w:tabs>
        <w:ind w:left="0" w:leftChars="0" w:firstLine="480" w:firstLineChars="200"/>
        <w:rPr>
          <w:rFonts w:hint="default" w:ascii="微软雅黑" w:hAnsi="微软雅黑" w:eastAsia="微软雅黑" w:cs="Times New Roman"/>
          <w:b w:val="0"/>
          <w:bCs w:val="0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企查查账号秉持着一人一号的原则，账号可通过验证码、密码登录，当同一账号有多个不同设备登录过，账号可能会被锁定，锁定后只能通过验证码登录。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.PingFang SC">
    <w:altName w:val="宋体"/>
    <w:panose1 w:val="00000000000000000000"/>
    <w:charset w:val="86"/>
    <w:family w:val="swiss"/>
    <w:pitch w:val="default"/>
    <w:sig w:usb0="00000000" w:usb1="00000000" w:usb2="00000017" w:usb3="00000000" w:csb0="00040001" w:csb1="00000000"/>
  </w:font>
  <w:font w:name="Helvetica Neue">
    <w:altName w:val="Corbel"/>
    <w:panose1 w:val="00000000000000000000"/>
    <w:charset w:val="00"/>
    <w:family w:val="swiss"/>
    <w:pitch w:val="default"/>
    <w:sig w:usb0="00000000" w:usb1="00000000" w:usb2="00000010" w:usb3="00000000" w:csb0="00000001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全福体">
    <w:panose1 w:val="02000500000000000000"/>
    <w:charset w:val="86"/>
    <w:family w:val="auto"/>
    <w:pitch w:val="default"/>
    <w:sig w:usb0="A00002BF" w:usb1="184F6CFA" w:usb2="00000012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33003928"/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50AE92"/>
    <w:multiLevelType w:val="singleLevel"/>
    <w:tmpl w:val="9750AE92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16A91A6"/>
    <w:multiLevelType w:val="singleLevel"/>
    <w:tmpl w:val="416A91A6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6665EE8E"/>
    <w:multiLevelType w:val="singleLevel"/>
    <w:tmpl w:val="6665EE8E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22"/>
    <w:rsid w:val="00035E5B"/>
    <w:rsid w:val="000409FF"/>
    <w:rsid w:val="00046A86"/>
    <w:rsid w:val="00046C94"/>
    <w:rsid w:val="00072ED5"/>
    <w:rsid w:val="0009342E"/>
    <w:rsid w:val="000B0FC7"/>
    <w:rsid w:val="000D7347"/>
    <w:rsid w:val="000E3445"/>
    <w:rsid w:val="001F69A8"/>
    <w:rsid w:val="001F7715"/>
    <w:rsid w:val="00237605"/>
    <w:rsid w:val="002E23A3"/>
    <w:rsid w:val="00303DF6"/>
    <w:rsid w:val="00354045"/>
    <w:rsid w:val="00355CD8"/>
    <w:rsid w:val="00384669"/>
    <w:rsid w:val="003B71FA"/>
    <w:rsid w:val="003E28C1"/>
    <w:rsid w:val="004017DC"/>
    <w:rsid w:val="004420C0"/>
    <w:rsid w:val="004B2B22"/>
    <w:rsid w:val="004E0CF6"/>
    <w:rsid w:val="005D7187"/>
    <w:rsid w:val="005F26A0"/>
    <w:rsid w:val="00600A7A"/>
    <w:rsid w:val="00603F05"/>
    <w:rsid w:val="00651E9A"/>
    <w:rsid w:val="0067212E"/>
    <w:rsid w:val="00695560"/>
    <w:rsid w:val="006C5CF1"/>
    <w:rsid w:val="007250F5"/>
    <w:rsid w:val="007A1C1F"/>
    <w:rsid w:val="007C72F9"/>
    <w:rsid w:val="007F61F9"/>
    <w:rsid w:val="00885F6C"/>
    <w:rsid w:val="008C74A0"/>
    <w:rsid w:val="009817AF"/>
    <w:rsid w:val="009A6D93"/>
    <w:rsid w:val="009C6039"/>
    <w:rsid w:val="00A2085E"/>
    <w:rsid w:val="00A44195"/>
    <w:rsid w:val="00A47C35"/>
    <w:rsid w:val="00A80BC4"/>
    <w:rsid w:val="00CC0100"/>
    <w:rsid w:val="00D74437"/>
    <w:rsid w:val="00D96AE4"/>
    <w:rsid w:val="00DC33C8"/>
    <w:rsid w:val="00DD5FFC"/>
    <w:rsid w:val="00F10592"/>
    <w:rsid w:val="00F127AB"/>
    <w:rsid w:val="00F15014"/>
    <w:rsid w:val="00F95BCF"/>
    <w:rsid w:val="00F971E3"/>
    <w:rsid w:val="00FE1471"/>
    <w:rsid w:val="05AA1056"/>
    <w:rsid w:val="07684F44"/>
    <w:rsid w:val="1109135F"/>
    <w:rsid w:val="12962AFA"/>
    <w:rsid w:val="323F2CD8"/>
    <w:rsid w:val="386A0EB7"/>
    <w:rsid w:val="45FC6810"/>
    <w:rsid w:val="46B11C6C"/>
    <w:rsid w:val="60D019A6"/>
    <w:rsid w:val="63D7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6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9">
    <w:name w:val="toc 2"/>
    <w:basedOn w:val="1"/>
    <w:next w:val="1"/>
    <w:unhideWhenUsed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0">
    <w:name w:val="Normal (Web)"/>
    <w:basedOn w:val="1"/>
    <w:semiHidden/>
    <w:unhideWhenUsed/>
    <w:qFormat/>
    <w:uiPriority w:val="99"/>
    <w:rPr>
      <w:sz w:val="24"/>
    </w:rPr>
  </w:style>
  <w:style w:type="character" w:styleId="13">
    <w:name w:val="Strong"/>
    <w:basedOn w:val="12"/>
    <w:qFormat/>
    <w:uiPriority w:val="22"/>
    <w:rPr>
      <w:b/>
    </w:rPr>
  </w:style>
  <w:style w:type="character" w:styleId="14">
    <w:name w:val="Hyperlink"/>
    <w:basedOn w:val="12"/>
    <w:unhideWhenUsed/>
    <w:qFormat/>
    <w:uiPriority w:val="99"/>
    <w:rPr>
      <w:color w:val="0000FF"/>
      <w:u w:val="single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p1"/>
    <w:basedOn w:val="1"/>
    <w:qFormat/>
    <w:uiPriority w:val="0"/>
    <w:pPr>
      <w:widowControl/>
      <w:jc w:val="left"/>
    </w:pPr>
    <w:rPr>
      <w:rFonts w:ascii=".PingFang SC" w:hAnsi=".PingFang SC" w:eastAsia=".PingFang SC" w:cs="Times New Roman"/>
      <w:color w:val="454545"/>
      <w:kern w:val="0"/>
      <w:sz w:val="18"/>
      <w:szCs w:val="18"/>
    </w:rPr>
  </w:style>
  <w:style w:type="character" w:customStyle="1" w:styleId="17">
    <w:name w:val="s1"/>
    <w:basedOn w:val="12"/>
    <w:qFormat/>
    <w:uiPriority w:val="0"/>
    <w:rPr>
      <w:rFonts w:hint="default" w:ascii="Helvetica Neue" w:hAnsi="Helvetica Neue"/>
      <w:sz w:val="18"/>
      <w:szCs w:val="18"/>
    </w:rPr>
  </w:style>
  <w:style w:type="character" w:customStyle="1" w:styleId="18">
    <w:name w:val="页眉 字符"/>
    <w:basedOn w:val="12"/>
    <w:link w:val="7"/>
    <w:uiPriority w:val="99"/>
    <w:rPr>
      <w:sz w:val="18"/>
      <w:szCs w:val="18"/>
    </w:rPr>
  </w:style>
  <w:style w:type="character" w:customStyle="1" w:styleId="19">
    <w:name w:val="页脚 字符"/>
    <w:basedOn w:val="12"/>
    <w:link w:val="6"/>
    <w:uiPriority w:val="99"/>
    <w:rPr>
      <w:sz w:val="18"/>
      <w:szCs w:val="18"/>
    </w:rPr>
  </w:style>
  <w:style w:type="character" w:customStyle="1" w:styleId="20">
    <w:name w:val="未处理的提及1"/>
    <w:basedOn w:val="1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1">
    <w:name w:val="标题 1 字符"/>
    <w:basedOn w:val="12"/>
    <w:link w:val="2"/>
    <w:uiPriority w:val="9"/>
    <w:rPr>
      <w:b/>
      <w:bCs/>
      <w:kern w:val="44"/>
      <w:sz w:val="44"/>
      <w:szCs w:val="44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23">
    <w:name w:val="标题 2 字符"/>
    <w:basedOn w:val="12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4">
    <w:name w:val="标题 3 字符"/>
    <w:basedOn w:val="12"/>
    <w:link w:val="4"/>
    <w:qFormat/>
    <w:uiPriority w:val="9"/>
    <w:rPr>
      <w:b/>
      <w:bCs/>
      <w:sz w:val="32"/>
      <w:szCs w:val="32"/>
    </w:rPr>
  </w:style>
  <w:style w:type="paragraph" w:customStyle="1" w:styleId="25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6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7" Type="http://schemas.openxmlformats.org/officeDocument/2006/relationships/fontTable" Target="fontTable.xml"/><Relationship Id="rId26" Type="http://schemas.openxmlformats.org/officeDocument/2006/relationships/customXml" Target="../customXml/item2.xml"/><Relationship Id="rId25" Type="http://schemas.openxmlformats.org/officeDocument/2006/relationships/numbering" Target="numbering.xml"/><Relationship Id="rId24" Type="http://schemas.openxmlformats.org/officeDocument/2006/relationships/customXml" Target="../customXml/item1.xml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FECC1C-99F6-478D-948B-AD842C3441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453</Words>
  <Characters>2585</Characters>
  <Lines>21</Lines>
  <Paragraphs>6</Paragraphs>
  <TotalTime>5</TotalTime>
  <ScaleCrop>false</ScaleCrop>
  <LinksUpToDate>false</LinksUpToDate>
  <CharactersWithSpaces>3032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2021-11-04T03:17:00Z</dcterms:created>
  <dc:creator>zhangmin</dc:creator>
  <cp:lastModifiedBy>F</cp:lastModifiedBy>
  <dcterms:modified xsi:type="dcterms:W3CDTF">2022-02-17T06:50:27Z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EA80C778443F413BBF7C28785001DDD5</vt:lpwstr>
  </property>
</Properties>
</file>