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napToGrid w:val="0"/>
        <w:spacing w:line="560" w:lineRule="exact"/>
        <w:jc w:val="center"/>
        <w:rPr>
          <w:color w:val="auto"/>
          <w:szCs w:val="32"/>
        </w:rPr>
      </w:pPr>
      <w:bookmarkStart w:id="0" w:name="密级"/>
      <w:r>
        <w:rPr>
          <w:rFonts w:ascii="黑体" w:eastAsia="黑体"/>
          <w:color w:val="auto"/>
          <w:szCs w:val="32"/>
        </w:rPr>
        <w:fldChar w:fldCharType="begin">
          <w:ffData>
            <w:name w:val="密级"/>
            <w:enabled/>
            <w:calcOnExit w:val="0"/>
            <w:textInput/>
          </w:ffData>
        </w:fldChar>
      </w:r>
      <w:r>
        <w:rPr>
          <w:rFonts w:ascii="黑体" w:eastAsia="黑体"/>
          <w:color w:val="auto"/>
          <w:szCs w:val="32"/>
        </w:rPr>
        <w:instrText xml:space="preserve"> FORMTEXT </w:instrText>
      </w:r>
      <w:r>
        <w:rPr>
          <w:rFonts w:ascii="黑体" w:eastAsia="黑体"/>
          <w:color w:val="auto"/>
          <w:szCs w:val="32"/>
        </w:rPr>
        <w:fldChar w:fldCharType="separate"/>
      </w:r>
      <w:r>
        <w:rPr>
          <w:rFonts w:ascii="黑体" w:eastAsia="黑体"/>
          <w:color w:val="auto"/>
          <w:szCs w:val="32"/>
        </w:rPr>
        <w:fldChar w:fldCharType="end"/>
      </w:r>
      <w:bookmarkEnd w:id="0"/>
    </w:p>
    <w:p>
      <w:pPr>
        <w:widowControl w:val="0"/>
        <w:snapToGrid w:val="0"/>
        <w:spacing w:line="560" w:lineRule="exact"/>
        <w:jc w:val="center"/>
        <w:textAlignment w:val="center"/>
        <w:rPr>
          <w:rFonts w:ascii="仿宋_GB2312" w:hAnsi="仿宋_GB2312" w:cs="仿宋_GB2312"/>
          <w:color w:val="auto"/>
          <w:sz w:val="36"/>
          <w:szCs w:val="36"/>
        </w:rPr>
      </w:pPr>
    </w:p>
    <w:p>
      <w:pPr>
        <w:widowControl w:val="0"/>
        <w:snapToGrid w:val="0"/>
        <w:spacing w:line="560" w:lineRule="exact"/>
        <w:jc w:val="center"/>
        <w:textAlignment w:val="center"/>
        <w:rPr>
          <w:rFonts w:ascii="仿宋_GB2312" w:hAnsi="仿宋_GB2312" w:cs="仿宋_GB2312"/>
          <w:color w:val="auto"/>
          <w:sz w:val="36"/>
          <w:szCs w:val="36"/>
        </w:rPr>
      </w:pPr>
    </w:p>
    <w:p>
      <w:pPr>
        <w:widowControl w:val="0"/>
        <w:snapToGrid w:val="0"/>
        <w:spacing w:line="560" w:lineRule="exact"/>
        <w:jc w:val="center"/>
        <w:textAlignment w:val="center"/>
        <w:rPr>
          <w:rFonts w:ascii="仿宋_GB2312" w:hAnsi="仿宋_GB2312" w:cs="仿宋_GB2312"/>
          <w:color w:val="auto"/>
          <w:sz w:val="36"/>
          <w:szCs w:val="36"/>
        </w:rPr>
      </w:pPr>
    </w:p>
    <w:p>
      <w:pPr>
        <w:widowControl w:val="0"/>
        <w:snapToGrid w:val="0"/>
        <w:spacing w:line="560" w:lineRule="exact"/>
        <w:jc w:val="center"/>
        <w:rPr>
          <w:rFonts w:ascii="仿宋_GB2312" w:hAnsi="仿宋_GB2312" w:cs="仿宋_GB2312"/>
          <w:color w:val="auto"/>
          <w:sz w:val="36"/>
          <w:szCs w:val="36"/>
        </w:rPr>
      </w:pPr>
    </w:p>
    <w:p>
      <w:pPr>
        <w:widowControl w:val="0"/>
        <w:snapToGrid w:val="0"/>
        <w:spacing w:after="96" w:afterLines="40" w:line="560" w:lineRule="exact"/>
        <w:jc w:val="center"/>
        <w:rPr>
          <w:rFonts w:ascii="仿宋_GB2312" w:hAnsi="仿宋_GB2312" w:cs="仿宋_GB2312"/>
          <w:color w:val="auto"/>
          <w:sz w:val="36"/>
          <w:szCs w:val="36"/>
        </w:rPr>
      </w:pPr>
    </w:p>
    <w:p>
      <w:pPr>
        <w:jc w:val="center"/>
        <w:rPr>
          <w:rFonts w:ascii="仿宋_GB2312" w:hAnsi="仿宋_GB2312" w:cs="仿宋_GB2312"/>
          <w:b/>
          <w:color w:val="auto"/>
          <w:szCs w:val="32"/>
        </w:rPr>
      </w:pPr>
      <w:r>
        <w:rPr>
          <w:rFonts w:hint="eastAsia" w:ascii="仿宋_GB2312" w:hAnsi="仿宋_GB2312" w:cs="仿宋_GB2312"/>
          <w:color w:val="auto"/>
          <w:szCs w:val="32"/>
        </w:rPr>
        <w:t>浙律协〔2020〕33号</w:t>
      </w:r>
    </w:p>
    <w:p>
      <w:pPr>
        <w:widowControl w:val="0"/>
        <w:snapToGrid w:val="0"/>
        <w:spacing w:line="560" w:lineRule="exact"/>
        <w:jc w:val="center"/>
        <w:rPr>
          <w:rFonts w:ascii="方正小标宋简体" w:hAnsi="方正小标宋简体" w:eastAsia="方正小标宋简体"/>
          <w:color w:val="auto"/>
          <w:sz w:val="44"/>
        </w:rPr>
      </w:pPr>
    </w:p>
    <w:p>
      <w:pPr>
        <w:widowControl w:val="0"/>
        <w:snapToGrid w:val="0"/>
        <w:spacing w:line="400" w:lineRule="exact"/>
        <w:jc w:val="center"/>
        <w:rPr>
          <w:rFonts w:ascii="方正小标宋简体" w:hAnsi="方正小标宋简体" w:eastAsia="方正小标宋简体"/>
          <w:color w:val="auto"/>
          <w:sz w:val="44"/>
        </w:rPr>
      </w:pPr>
    </w:p>
    <w:p>
      <w:pPr>
        <w:spacing w:line="700" w:lineRule="exact"/>
        <w:jc w:val="center"/>
        <w:rPr>
          <w:rFonts w:ascii="方正小标宋简体" w:eastAsia="方正小标宋简体"/>
          <w:b/>
          <w:bCs/>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b/>
          <w:bCs/>
          <w:color w:val="000000" w:themeColor="text1"/>
          <w:sz w:val="44"/>
          <w:szCs w:val="44"/>
          <w14:textFill>
            <w14:solidFill>
              <w14:schemeClr w14:val="tx1"/>
            </w14:solidFill>
          </w14:textFill>
        </w:rPr>
        <w:t>关于印发《</w:t>
      </w:r>
      <w:r>
        <w:rPr>
          <w:rFonts w:hint="eastAsia" w:ascii="方正小标宋简体" w:eastAsia="方正小标宋简体"/>
          <w:b/>
          <w:bCs/>
          <w:color w:val="000000" w:themeColor="text1"/>
          <w:sz w:val="44"/>
          <w:szCs w:val="44"/>
          <w14:textFill>
            <w14:solidFill>
              <w14:schemeClr w14:val="tx1"/>
            </w14:solidFill>
          </w14:textFill>
        </w:rPr>
        <w:t>浙江省律师协会</w:t>
      </w:r>
      <w:r>
        <w:rPr>
          <w:rFonts w:hint="eastAsia" w:ascii="方正小标宋简体" w:eastAsia="方正小标宋简体"/>
          <w:b/>
          <w:bCs/>
          <w:color w:val="000000" w:themeColor="text1"/>
          <w:w w:val="90"/>
          <w:sz w:val="44"/>
          <w:szCs w:val="44"/>
          <w14:textFill>
            <w14:solidFill>
              <w14:schemeClr w14:val="tx1"/>
            </w14:solidFill>
          </w14:textFill>
        </w:rPr>
        <w:t>律师参与公益法律服务考核办法（试行）</w:t>
      </w:r>
      <w:r>
        <w:rPr>
          <w:rFonts w:hint="eastAsia" w:ascii="方正小标宋简体" w:hAnsi="方正小标宋简体" w:eastAsia="方正小标宋简体" w:cs="方正小标宋简体"/>
          <w:b/>
          <w:bCs/>
          <w:color w:val="000000" w:themeColor="text1"/>
          <w:sz w:val="44"/>
          <w:szCs w:val="44"/>
          <w14:textFill>
            <w14:solidFill>
              <w14:schemeClr w14:val="tx1"/>
            </w14:solidFill>
          </w14:textFill>
        </w:rPr>
        <w:t>》的通知</w:t>
      </w:r>
    </w:p>
    <w:p>
      <w:pPr>
        <w:rPr>
          <w:color w:val="000000" w:themeColor="text1"/>
          <w:szCs w:val="3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560" w:lineRule="exact"/>
        <w:textAlignment w:val="baseline"/>
        <w:rPr>
          <w:rFonts w:ascii="仿宋_GB2312" w:hAnsi="仿宋" w:cs="仿宋"/>
          <w:color w:val="000000" w:themeColor="text1"/>
          <w:szCs w:val="32"/>
          <w14:textFill>
            <w14:solidFill>
              <w14:schemeClr w14:val="tx1"/>
            </w14:solidFill>
          </w14:textFill>
        </w:rPr>
      </w:pPr>
      <w:r>
        <w:rPr>
          <w:rFonts w:hint="eastAsia" w:ascii="仿宋_GB2312" w:hAnsi="仿宋" w:cs="仿宋"/>
          <w:color w:val="000000" w:themeColor="text1"/>
          <w:szCs w:val="32"/>
          <w14:textFill>
            <w14:solidFill>
              <w14:schemeClr w14:val="tx1"/>
            </w14:solidFill>
          </w14:textFill>
        </w:rPr>
        <w:t>各市律师协会，义乌市律师协会：</w:t>
      </w:r>
    </w:p>
    <w:p>
      <w:pPr>
        <w:keepNext w:val="0"/>
        <w:keepLines w:val="0"/>
        <w:pageBreakBefore w:val="0"/>
        <w:widowControl/>
        <w:kinsoku/>
        <w:wordWrap/>
        <w:overflowPunct/>
        <w:topLinePunct w:val="0"/>
        <w:autoSpaceDE/>
        <w:autoSpaceDN/>
        <w:bidi w:val="0"/>
        <w:adjustRightInd/>
        <w:snapToGrid/>
        <w:spacing w:line="560" w:lineRule="exact"/>
        <w:textAlignment w:val="baseline"/>
        <w:rPr>
          <w:rFonts w:ascii="仿宋_GB2312" w:hAnsi="仿宋" w:cs="仿宋"/>
          <w:color w:val="000000" w:themeColor="text1"/>
          <w:szCs w:val="32"/>
          <w14:textFill>
            <w14:solidFill>
              <w14:schemeClr w14:val="tx1"/>
            </w14:solidFill>
          </w14:textFill>
        </w:rPr>
      </w:pPr>
      <w:r>
        <w:rPr>
          <w:rFonts w:hint="eastAsia" w:ascii="仿宋_GB2312" w:hAnsi="仿宋" w:cs="仿宋"/>
          <w:color w:val="000000" w:themeColor="text1"/>
          <w:szCs w:val="32"/>
          <w14:textFill>
            <w14:solidFill>
              <w14:schemeClr w14:val="tx1"/>
            </w14:solidFill>
          </w14:textFill>
        </w:rPr>
        <w:t>　　《浙江省律师协会律师参与公益法律服务考核办法（试行）》已于2020年9月13日经省律协十届常务理事会第六次会议审议通过，现予印发，请转发至各律师事务所遵照执行。</w:t>
      </w:r>
    </w:p>
    <w:p>
      <w:pPr>
        <w:keepNext w:val="0"/>
        <w:keepLines w:val="0"/>
        <w:pageBreakBefore w:val="0"/>
        <w:widowControl/>
        <w:kinsoku/>
        <w:wordWrap/>
        <w:overflowPunct/>
        <w:topLinePunct w:val="0"/>
        <w:autoSpaceDE/>
        <w:autoSpaceDN/>
        <w:bidi w:val="0"/>
        <w:adjustRightInd/>
        <w:snapToGrid/>
        <w:spacing w:line="560" w:lineRule="exact"/>
        <w:textAlignment w:val="baseline"/>
        <w:rPr>
          <w:rFonts w:ascii="仿宋_GB2312" w:hAnsi="仿宋" w:cs="仿宋"/>
          <w:color w:val="000000" w:themeColor="text1"/>
          <w:szCs w:val="32"/>
          <w14:textFill>
            <w14:solidFill>
              <w14:schemeClr w14:val="tx1"/>
            </w14:solidFill>
          </w14:textFill>
        </w:rPr>
      </w:pPr>
      <w:r>
        <w:rPr>
          <w:rFonts w:hint="eastAsia" w:ascii="仿宋_GB2312" w:hAnsi="仿宋" w:cs="仿宋"/>
          <w:color w:val="000000" w:themeColor="text1"/>
          <w:szCs w:val="32"/>
          <w14:textFill>
            <w14:solidFill>
              <w14:schemeClr w14:val="tx1"/>
            </w14:solidFill>
          </w14:textFill>
        </w:rPr>
        <w:t>　　执行中遇到问题，请及时报告省律协。</w:t>
      </w:r>
    </w:p>
    <w:p>
      <w:pPr>
        <w:keepNext w:val="0"/>
        <w:keepLines w:val="0"/>
        <w:pageBreakBefore w:val="0"/>
        <w:widowControl/>
        <w:kinsoku/>
        <w:wordWrap/>
        <w:overflowPunct/>
        <w:topLinePunct w:val="0"/>
        <w:autoSpaceDE/>
        <w:autoSpaceDN/>
        <w:bidi w:val="0"/>
        <w:adjustRightInd/>
        <w:snapToGrid/>
        <w:spacing w:line="560" w:lineRule="exact"/>
        <w:ind w:firstLine="438"/>
        <w:textAlignment w:val="baseline"/>
        <w:rPr>
          <w:rFonts w:ascii="仿宋_GB2312" w:hAnsi="仿宋" w:cs="仿宋"/>
          <w:color w:val="000000" w:themeColor="text1"/>
          <w:szCs w:val="3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560" w:lineRule="exact"/>
        <w:ind w:firstLine="438"/>
        <w:textAlignment w:val="baseline"/>
        <w:rPr>
          <w:rFonts w:ascii="仿宋_GB2312" w:hAnsi="仿宋" w:cs="仿宋"/>
          <w:color w:val="000000" w:themeColor="text1"/>
          <w:szCs w:val="3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560" w:lineRule="exact"/>
        <w:ind w:firstLine="438"/>
        <w:textAlignment w:val="baseline"/>
        <w:rPr>
          <w:rFonts w:ascii="仿宋_GB2312" w:hAnsi="仿宋" w:cs="仿宋"/>
          <w:color w:val="000000" w:themeColor="text1"/>
          <w:szCs w:val="32"/>
          <w14:textFill>
            <w14:solidFill>
              <w14:schemeClr w14:val="tx1"/>
            </w14:solidFill>
          </w14:textFill>
        </w:rPr>
      </w:pPr>
      <w:r>
        <w:rPr>
          <w:rFonts w:hint="eastAsia" w:ascii="仿宋_GB2312" w:hAnsi="仿宋" w:cs="仿宋"/>
          <w:color w:val="000000" w:themeColor="text1"/>
          <w:szCs w:val="32"/>
          <w14:textFill>
            <w14:solidFill>
              <w14:schemeClr w14:val="tx1"/>
            </w14:solidFill>
          </w14:textFill>
        </w:rPr>
        <w:t>　　　　　　　　　　　　　</w:t>
      </w:r>
      <w:r>
        <w:rPr>
          <w:rFonts w:hint="eastAsia" w:ascii="仿宋_GB2312" w:hAnsi="仿宋" w:cs="仿宋"/>
          <w:color w:val="000000" w:themeColor="text1"/>
          <w:szCs w:val="32"/>
          <w:lang w:val="en-US" w:eastAsia="zh-CN"/>
          <w14:textFill>
            <w14:solidFill>
              <w14:schemeClr w14:val="tx1"/>
            </w14:solidFill>
          </w14:textFill>
        </w:rPr>
        <w:t xml:space="preserve">    </w:t>
      </w:r>
      <w:r>
        <w:rPr>
          <w:rFonts w:hint="eastAsia" w:ascii="仿宋_GB2312" w:hAnsi="仿宋" w:cs="仿宋"/>
          <w:color w:val="000000" w:themeColor="text1"/>
          <w:szCs w:val="32"/>
          <w14:textFill>
            <w14:solidFill>
              <w14:schemeClr w14:val="tx1"/>
            </w14:solidFill>
          </w14:textFill>
        </w:rPr>
        <w:t>浙江省律师协会</w:t>
      </w:r>
    </w:p>
    <w:p>
      <w:pPr>
        <w:keepNext w:val="0"/>
        <w:keepLines w:val="0"/>
        <w:pageBreakBefore w:val="0"/>
        <w:widowControl/>
        <w:kinsoku/>
        <w:wordWrap/>
        <w:overflowPunct/>
        <w:topLinePunct w:val="0"/>
        <w:autoSpaceDE/>
        <w:autoSpaceDN/>
        <w:bidi w:val="0"/>
        <w:adjustRightInd/>
        <w:snapToGrid/>
        <w:spacing w:line="560" w:lineRule="exact"/>
        <w:ind w:firstLine="438"/>
        <w:textAlignment w:val="baseline"/>
        <w:rPr>
          <w:rFonts w:ascii="仿宋_GB2312" w:hAnsi="仿宋" w:cs="仿宋"/>
          <w:color w:val="000000" w:themeColor="text1"/>
          <w:szCs w:val="32"/>
          <w14:textFill>
            <w14:solidFill>
              <w14:schemeClr w14:val="tx1"/>
            </w14:solidFill>
          </w14:textFill>
        </w:rPr>
      </w:pPr>
      <w:r>
        <w:rPr>
          <w:rFonts w:hint="eastAsia" w:ascii="仿宋_GB2312" w:hAnsi="仿宋" w:cs="仿宋"/>
          <w:color w:val="000000" w:themeColor="text1"/>
          <w:szCs w:val="32"/>
          <w14:textFill>
            <w14:solidFill>
              <w14:schemeClr w14:val="tx1"/>
            </w14:solidFill>
          </w14:textFill>
        </w:rPr>
        <w:t>　　　　　　　　　　　　　</w:t>
      </w:r>
      <w:r>
        <w:rPr>
          <w:rFonts w:hint="eastAsia" w:ascii="仿宋_GB2312" w:hAnsi="仿宋" w:cs="仿宋"/>
          <w:color w:val="000000" w:themeColor="text1"/>
          <w:szCs w:val="32"/>
          <w:lang w:val="en-US" w:eastAsia="zh-CN"/>
          <w14:textFill>
            <w14:solidFill>
              <w14:schemeClr w14:val="tx1"/>
            </w14:solidFill>
          </w14:textFill>
        </w:rPr>
        <w:t xml:space="preserve">   </w:t>
      </w:r>
      <w:r>
        <w:rPr>
          <w:rFonts w:hint="eastAsia" w:ascii="仿宋_GB2312" w:hAnsi="仿宋" w:cs="仿宋"/>
          <w:color w:val="000000" w:themeColor="text1"/>
          <w:szCs w:val="32"/>
          <w14:textFill>
            <w14:solidFill>
              <w14:schemeClr w14:val="tx1"/>
            </w14:solidFill>
          </w14:textFill>
        </w:rPr>
        <w:t>2020年9月29日</w:t>
      </w:r>
    </w:p>
    <w:p>
      <w:pPr>
        <w:spacing w:line="700" w:lineRule="exact"/>
        <w:jc w:val="center"/>
        <w:rPr>
          <w:rFonts w:ascii="方正小标宋简体" w:eastAsia="方正小标宋简体"/>
          <w:b/>
          <w:bCs/>
          <w:color w:val="000000" w:themeColor="text1"/>
          <w:sz w:val="44"/>
          <w:szCs w:val="44"/>
          <w14:textFill>
            <w14:solidFill>
              <w14:schemeClr w14:val="tx1"/>
            </w14:solidFill>
          </w14:textFill>
        </w:rPr>
      </w:pPr>
      <w:r>
        <w:rPr>
          <w:rFonts w:hint="eastAsia" w:ascii="方正小标宋简体" w:eastAsia="方正小标宋简体"/>
          <w:b/>
          <w:bCs/>
          <w:color w:val="000000" w:themeColor="text1"/>
          <w:sz w:val="44"/>
          <w:szCs w:val="44"/>
          <w14:textFill>
            <w14:solidFill>
              <w14:schemeClr w14:val="tx1"/>
            </w14:solidFill>
          </w14:textFill>
        </w:rPr>
        <w:t>浙江省律师协会</w:t>
      </w:r>
    </w:p>
    <w:p>
      <w:pPr>
        <w:spacing w:line="700" w:lineRule="exact"/>
        <w:jc w:val="center"/>
        <w:rPr>
          <w:rFonts w:ascii="方正小标宋简体" w:eastAsia="方正小标宋简体"/>
          <w:b/>
          <w:bCs/>
          <w:color w:val="000000" w:themeColor="text1"/>
          <w:w w:val="90"/>
          <w:sz w:val="44"/>
          <w:szCs w:val="44"/>
          <w14:textFill>
            <w14:solidFill>
              <w14:schemeClr w14:val="tx1"/>
            </w14:solidFill>
          </w14:textFill>
        </w:rPr>
      </w:pPr>
      <w:r>
        <w:rPr>
          <w:rFonts w:hint="eastAsia" w:ascii="方正小标宋简体" w:eastAsia="方正小标宋简体"/>
          <w:b/>
          <w:bCs/>
          <w:color w:val="000000" w:themeColor="text1"/>
          <w:w w:val="90"/>
          <w:sz w:val="44"/>
          <w:szCs w:val="44"/>
          <w14:textFill>
            <w14:solidFill>
              <w14:schemeClr w14:val="tx1"/>
            </w14:solidFill>
          </w14:textFill>
        </w:rPr>
        <w:t>律师参与公益法律服务考核办法（试行）</w:t>
      </w:r>
    </w:p>
    <w:p>
      <w:pPr>
        <w:spacing w:before="120" w:beforeLines="50" w:line="580" w:lineRule="exact"/>
        <w:jc w:val="center"/>
        <w:rPr>
          <w:rFonts w:ascii="楷体_GB2312" w:hAnsi="楷体" w:eastAsia="楷体_GB2312" w:cs="楷体"/>
          <w:b w:val="0"/>
          <w:bCs/>
          <w:iCs/>
          <w:color w:val="000000" w:themeColor="text1"/>
          <w:sz w:val="30"/>
          <w:szCs w:val="30"/>
          <w14:textFill>
            <w14:solidFill>
              <w14:schemeClr w14:val="tx1"/>
            </w14:solidFill>
          </w14:textFill>
        </w:rPr>
      </w:pPr>
      <w:r>
        <w:rPr>
          <w:rFonts w:hint="eastAsia" w:ascii="楷体_GB2312" w:hAnsi="楷体" w:eastAsia="楷体_GB2312" w:cs="楷体"/>
          <w:b w:val="0"/>
          <w:bCs/>
          <w:iCs/>
          <w:color w:val="000000" w:themeColor="text1"/>
          <w:sz w:val="30"/>
          <w:szCs w:val="30"/>
          <w14:textFill>
            <w14:solidFill>
              <w14:schemeClr w14:val="tx1"/>
            </w14:solidFill>
          </w14:textFill>
        </w:rPr>
        <w:t>（2020年9月13日浙江省律师协会第十届常务理事会</w:t>
      </w:r>
    </w:p>
    <w:p>
      <w:pPr>
        <w:jc w:val="center"/>
        <w:rPr>
          <w:rFonts w:ascii="仿宋_GB2312"/>
          <w:b w:val="0"/>
          <w:bCs/>
          <w:color w:val="000000" w:themeColor="text1"/>
          <w:sz w:val="30"/>
          <w:szCs w:val="30"/>
          <w14:textFill>
            <w14:solidFill>
              <w14:schemeClr w14:val="tx1"/>
            </w14:solidFill>
          </w14:textFill>
        </w:rPr>
      </w:pPr>
      <w:r>
        <w:rPr>
          <w:rFonts w:hint="eastAsia" w:ascii="楷体_GB2312" w:hAnsi="楷体" w:eastAsia="楷体_GB2312" w:cs="楷体"/>
          <w:b w:val="0"/>
          <w:bCs/>
          <w:iCs/>
          <w:color w:val="000000" w:themeColor="text1"/>
          <w:sz w:val="30"/>
          <w:szCs w:val="30"/>
          <w14:textFill>
            <w14:solidFill>
              <w14:schemeClr w14:val="tx1"/>
            </w14:solidFill>
          </w14:textFill>
        </w:rPr>
        <w:t>第六次会议审议通过）</w:t>
      </w:r>
    </w:p>
    <w:p>
      <w:pPr>
        <w:spacing w:line="580" w:lineRule="exact"/>
        <w:jc w:val="center"/>
        <w:rPr>
          <w:rFonts w:ascii="黑体" w:hAnsi="黑体" w:eastAsia="黑体"/>
          <w:color w:val="000000" w:themeColor="text1"/>
          <w:szCs w:val="32"/>
          <w14:textFill>
            <w14:solidFill>
              <w14:schemeClr w14:val="tx1"/>
            </w14:solidFill>
          </w14:textFill>
        </w:rPr>
      </w:pPr>
    </w:p>
    <w:p>
      <w:pPr>
        <w:spacing w:line="560" w:lineRule="exact"/>
        <w:jc w:val="center"/>
        <w:rPr>
          <w:rFonts w:ascii="黑体" w:hAnsi="黑体" w:eastAsia="黑体"/>
          <w:color w:val="000000" w:themeColor="text1"/>
          <w:szCs w:val="32"/>
          <w14:textFill>
            <w14:solidFill>
              <w14:schemeClr w14:val="tx1"/>
            </w14:solidFill>
          </w14:textFill>
        </w:rPr>
      </w:pPr>
      <w:r>
        <w:rPr>
          <w:rFonts w:hint="eastAsia" w:ascii="黑体" w:hAnsi="黑体" w:eastAsia="黑体"/>
          <w:color w:val="000000" w:themeColor="text1"/>
          <w:szCs w:val="32"/>
          <w14:textFill>
            <w14:solidFill>
              <w14:schemeClr w14:val="tx1"/>
            </w14:solidFill>
          </w14:textFill>
        </w:rPr>
        <w:t>第一章 总则</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第一条  </w:t>
      </w:r>
      <w:r>
        <w:rPr>
          <w:rFonts w:hint="eastAsia" w:ascii="仿宋_GB2312"/>
          <w:color w:val="000000" w:themeColor="text1"/>
          <w:sz w:val="32"/>
          <w:szCs w:val="32"/>
          <w14:textFill>
            <w14:solidFill>
              <w14:schemeClr w14:val="tx1"/>
            </w14:solidFill>
          </w14:textFill>
        </w:rPr>
        <w:t>为充分发挥律师在推进全面依法治国中的重要作用，更好满足人民群众日益增长的法律服务需求，根据司法部《关于促进律师参与公益法律服务的意见》和《浙江省律师协会律师参与公益法律服务实施办法》，结合浙江律师工作实际，特制定本办法。</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第二条  </w:t>
      </w:r>
      <w:r>
        <w:rPr>
          <w:rFonts w:hint="eastAsia" w:ascii="仿宋_GB2312"/>
          <w:color w:val="000000" w:themeColor="text1"/>
          <w:sz w:val="32"/>
          <w:szCs w:val="32"/>
          <w14:textFill>
            <w14:solidFill>
              <w14:schemeClr w14:val="tx1"/>
            </w14:solidFill>
          </w14:textFill>
        </w:rPr>
        <w:t>律师应当参与的公益法律服务种类包括：</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（一）为残疾人、现役军人、农民工、老年人、妇女、未成年人等特殊群体提供公益性无偿法律服务；</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（二）为城乡低收入群体和基层群众自治组织提供公益性无偿法律服务；</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（三）通过担任普法志愿者等方式参与公益性法治宣传活动；</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（四）在社会专业救助机构担任志愿者，开展公益性无偿法律服务；</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（五）在公共法律服务平台或者通过其他渠道提供免费法律咨询服务，参与法治扶贫活动，到边疆地区、欠发达地区和少数民族地区担任志愿律师；</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（六）协助党政机关开展信访接待、涉法涉诉案件化解、重大突发案（事）件处置等工作；</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（七）提供公益性律师调解服务，志愿参与人民调解、行政调解、司法调解和行业性、专业性调解；</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（八）从事公益法律服务政策研究、立法论证、学术交流、人才培养等工作；</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（九）为社会公益组织提供无偿的法律咨询或者法律服务；</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（十）从事其他形式的公益法律服务。</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第三条  </w:t>
      </w:r>
      <w:r>
        <w:rPr>
          <w:rFonts w:hint="eastAsia" w:ascii="仿宋_GB2312"/>
          <w:color w:val="000000" w:themeColor="text1"/>
          <w:sz w:val="32"/>
          <w:szCs w:val="32"/>
          <w14:textFill>
            <w14:solidFill>
              <w14:schemeClr w14:val="tx1"/>
            </w14:solidFill>
          </w14:textFill>
        </w:rPr>
        <w:t>律师参与公益法律服务实行申报制，由律师自行申报，所在律所复核；考核采用各市律师协会初审与省律师协会终审相结合的方式。</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律师参与公益法律服务的考核与律师执业年度考核同步进行，考核结果应当计入律师诚信档案，并作为律师和其所在律所参加评优评先的依据。</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p>
    <w:p>
      <w:pPr>
        <w:spacing w:line="560" w:lineRule="exact"/>
        <w:jc w:val="center"/>
        <w:rPr>
          <w:rFonts w:ascii="黑体" w:hAnsi="黑体" w:eastAsia="黑体"/>
          <w:color w:val="000000" w:themeColor="text1"/>
          <w:szCs w:val="32"/>
          <w14:textFill>
            <w14:solidFill>
              <w14:schemeClr w14:val="tx1"/>
            </w14:solidFill>
          </w14:textFill>
        </w:rPr>
      </w:pPr>
      <w:r>
        <w:rPr>
          <w:rFonts w:hint="eastAsia" w:ascii="黑体" w:hAnsi="黑体" w:eastAsia="黑体"/>
          <w:color w:val="000000" w:themeColor="text1"/>
          <w:szCs w:val="32"/>
          <w14:textFill>
            <w14:solidFill>
              <w14:schemeClr w14:val="tx1"/>
            </w14:solidFill>
          </w14:textFill>
        </w:rPr>
        <w:t>第二章 申报方式</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第四条  </w:t>
      </w:r>
      <w:r>
        <w:rPr>
          <w:rFonts w:hint="eastAsia" w:ascii="仿宋_GB2312"/>
          <w:color w:val="000000" w:themeColor="text1"/>
          <w:sz w:val="32"/>
          <w:szCs w:val="32"/>
          <w14:textFill>
            <w14:solidFill>
              <w14:schemeClr w14:val="tx1"/>
            </w14:solidFill>
          </w14:textFill>
        </w:rPr>
        <w:t>律师自行在年度考核前向其所在律师事务所申报相应的公益法律服务相关信息，由所在的律师事务所汇总后经市律师协会向省律师协会报告，省律师协会采取随机抽查的方式检查律师申报的公益法律服务情况。</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律师在考核年度内发生转所、设立新所等事项的，应当向考核时所在律所申报，在转入所或新设立所之前的参与公益法律服务的情况一并申报，并附注说明。</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第五条  </w:t>
      </w:r>
      <w:r>
        <w:rPr>
          <w:rFonts w:hint="eastAsia" w:ascii="仿宋_GB2312"/>
          <w:color w:val="000000" w:themeColor="text1"/>
          <w:sz w:val="32"/>
          <w:szCs w:val="32"/>
          <w14:textFill>
            <w14:solidFill>
              <w14:schemeClr w14:val="tx1"/>
            </w14:solidFill>
          </w14:textFill>
        </w:rPr>
        <w:t>律师向律师事务所申报的公益法律服务相关信息，应当包括参与公益法律服务的活动名称、时间、地点、内容、服务方式、服务对象，服务计时等，律师还应当提供能够证明其进行公益法律服务人员的联系方式。</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第六条  </w:t>
      </w:r>
      <w:r>
        <w:rPr>
          <w:rFonts w:hint="eastAsia" w:ascii="仿宋_GB2312"/>
          <w:color w:val="000000" w:themeColor="text1"/>
          <w:sz w:val="32"/>
          <w:szCs w:val="32"/>
          <w14:textFill>
            <w14:solidFill>
              <w14:schemeClr w14:val="tx1"/>
            </w14:solidFill>
          </w14:textFill>
        </w:rPr>
        <w:t>律师申报的公益法律服务相关信息应当简略描述公益法律服务的内容：</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（一）为个人提供法律咨询等服务的，应当对当事人的问题及律师的回答进行简略表述；</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（二）从事公益法律服务政策研究、立法论证、学术交流、人才培养等工作的，应当描述工作过程及成果；</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（三）其他能够体现公益法律服务内容的文字描述或相关图片资料。</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第七条  </w:t>
      </w:r>
      <w:r>
        <w:rPr>
          <w:rFonts w:hint="eastAsia" w:ascii="仿宋_GB2312"/>
          <w:color w:val="000000" w:themeColor="text1"/>
          <w:sz w:val="32"/>
          <w:szCs w:val="32"/>
          <w14:textFill>
            <w14:solidFill>
              <w14:schemeClr w14:val="tx1"/>
            </w14:solidFill>
          </w14:textFill>
        </w:rPr>
        <w:t>公益法律服务时长计算采用以下方式：</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（一）办理法律援助案件1件计25个小时。</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二）其他公益法律服务时长根据服务起止时间计算。公益服务的时长包括必要的在途时间和准备时间；如果一天内律师在两个及以上时间段提供公益法律服务的，按分段累计计时；分段计时有困难的，当天的公益法律服务时长按5小时计；公益法律服务按照正常工作时间持续数日的，每天按8小时计；因重大突发案（事）件处置等工作一天服务超过8小时的，超过8小时部分时间按双倍计算。</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p>
    <w:p>
      <w:pPr>
        <w:spacing w:line="560" w:lineRule="exact"/>
        <w:jc w:val="center"/>
        <w:rPr>
          <w:rFonts w:ascii="黑体" w:hAnsi="黑体" w:eastAsia="黑体"/>
          <w:color w:val="000000" w:themeColor="text1"/>
          <w:szCs w:val="32"/>
          <w14:textFill>
            <w14:solidFill>
              <w14:schemeClr w14:val="tx1"/>
            </w14:solidFill>
          </w14:textFill>
        </w:rPr>
      </w:pPr>
      <w:r>
        <w:rPr>
          <w:rFonts w:hint="eastAsia" w:ascii="黑体" w:hAnsi="黑体" w:eastAsia="黑体"/>
          <w:color w:val="000000" w:themeColor="text1"/>
          <w:szCs w:val="32"/>
          <w14:textFill>
            <w14:solidFill>
              <w14:schemeClr w14:val="tx1"/>
            </w14:solidFill>
          </w14:textFill>
        </w:rPr>
        <w:t>第三章 监督考核</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第八条  </w:t>
      </w:r>
      <w:r>
        <w:rPr>
          <w:rFonts w:hint="eastAsia" w:ascii="仿宋_GB2312"/>
          <w:color w:val="000000" w:themeColor="text1"/>
          <w:sz w:val="32"/>
          <w:szCs w:val="32"/>
          <w14:textFill>
            <w14:solidFill>
              <w14:schemeClr w14:val="tx1"/>
            </w14:solidFill>
          </w14:textFill>
        </w:rPr>
        <w:t>律师应当完成每年不少于５０个小时的公益法律服务，鼓励律师超额完成公益法律服务。</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前款所称的“每年”是指律师参加考核前一自然年（1月1日起至1</w:t>
      </w:r>
      <w:r>
        <w:rPr>
          <w:rFonts w:ascii="仿宋_GB2312"/>
          <w:color w:val="000000" w:themeColor="text1"/>
          <w:sz w:val="32"/>
          <w:szCs w:val="32"/>
          <w14:textFill>
            <w14:solidFill>
              <w14:schemeClr w14:val="tx1"/>
            </w14:solidFill>
          </w14:textFill>
        </w:rPr>
        <w:t>2</w:t>
      </w:r>
      <w:r>
        <w:rPr>
          <w:rFonts w:hint="eastAsia" w:ascii="仿宋_GB2312"/>
          <w:color w:val="000000" w:themeColor="text1"/>
          <w:sz w:val="32"/>
          <w:szCs w:val="32"/>
          <w14:textFill>
            <w14:solidFill>
              <w14:schemeClr w14:val="tx1"/>
            </w14:solidFill>
          </w14:textFill>
        </w:rPr>
        <w:t>月3</w:t>
      </w:r>
      <w:r>
        <w:rPr>
          <w:rFonts w:ascii="仿宋_GB2312"/>
          <w:color w:val="000000" w:themeColor="text1"/>
          <w:sz w:val="32"/>
          <w:szCs w:val="32"/>
          <w14:textFill>
            <w14:solidFill>
              <w14:schemeClr w14:val="tx1"/>
            </w14:solidFill>
          </w14:textFill>
        </w:rPr>
        <w:t>1</w:t>
      </w:r>
      <w:r>
        <w:rPr>
          <w:rFonts w:hint="eastAsia" w:ascii="仿宋_GB2312"/>
          <w:color w:val="000000" w:themeColor="text1"/>
          <w:sz w:val="32"/>
          <w:szCs w:val="32"/>
          <w14:textFill>
            <w14:solidFill>
              <w14:schemeClr w14:val="tx1"/>
            </w14:solidFill>
          </w14:textFill>
        </w:rPr>
        <w:t>日止）的期间。</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auto"/>
          <w:sz w:val="32"/>
          <w:szCs w:val="32"/>
        </w:rPr>
        <w:t>第九条</w:t>
      </w:r>
      <w:r>
        <w:rPr>
          <w:rFonts w:hint="eastAsia" w:ascii="仿宋_GB2312"/>
          <w:color w:val="FF0000"/>
          <w:sz w:val="32"/>
          <w:szCs w:val="32"/>
        </w:rPr>
        <w:t xml:space="preserve">  </w:t>
      </w:r>
      <w:r>
        <w:rPr>
          <w:rFonts w:hint="eastAsia" w:ascii="仿宋_GB2312"/>
          <w:color w:val="000000" w:themeColor="text1"/>
          <w:sz w:val="32"/>
          <w:szCs w:val="32"/>
          <w14:textFill>
            <w14:solidFill>
              <w14:schemeClr w14:val="tx1"/>
            </w14:solidFill>
          </w14:textFill>
        </w:rPr>
        <w:t>律师对申报的公益法律服务，应自行建档备查。</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第十条  </w:t>
      </w:r>
      <w:r>
        <w:rPr>
          <w:rFonts w:hint="eastAsia" w:ascii="仿宋_GB2312"/>
          <w:color w:val="000000" w:themeColor="text1"/>
          <w:sz w:val="32"/>
          <w:szCs w:val="32"/>
          <w14:textFill>
            <w14:solidFill>
              <w14:schemeClr w14:val="tx1"/>
            </w14:solidFill>
          </w14:textFill>
        </w:rPr>
        <w:t>律师事务所对律师申报的公益法律服务信息进行复核，必要时进行抽检，审查无误后将材料提交市律师协会初审。</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第十一条  </w:t>
      </w:r>
      <w:r>
        <w:rPr>
          <w:rFonts w:hint="eastAsia" w:ascii="仿宋_GB2312"/>
          <w:color w:val="000000" w:themeColor="text1"/>
          <w:sz w:val="32"/>
          <w:szCs w:val="32"/>
          <w14:textFill>
            <w14:solidFill>
              <w14:schemeClr w14:val="tx1"/>
            </w14:solidFill>
          </w14:textFill>
        </w:rPr>
        <w:t>市律师协会在收到律师事务所提供的材料后应进行初审，初审包括以下内容：</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（一）律师申报的服务内容是否属于公益法律服务范畴、是否属于无偿的公益服务；</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（二）律师申报的公益服务内容与申报的服务时长；</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（三）信息填写是否有遗漏，若发现遗漏应退回律师事务所由律师补充填写后再次报告。</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第十二条  </w:t>
      </w:r>
      <w:r>
        <w:rPr>
          <w:rFonts w:hint="eastAsia" w:ascii="仿宋_GB2312"/>
          <w:color w:val="000000" w:themeColor="text1"/>
          <w:sz w:val="32"/>
          <w:szCs w:val="32"/>
          <w14:textFill>
            <w14:solidFill>
              <w14:schemeClr w14:val="tx1"/>
            </w14:solidFill>
          </w14:textFill>
        </w:rPr>
        <w:t>省律师协会负责对申报材料进行最终审查。</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省律师协会应当对市律师协会上报的情况进行审查，对不属于公益法律服务的，不予计入公益法律服务时长；对公益服务内容与报告的服务时长不匹配的，可要求律师说明情况，律师无法证明的，参照同类型公益服务内容时长予以计算。</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第十三条  </w:t>
      </w:r>
      <w:r>
        <w:rPr>
          <w:rFonts w:hint="eastAsia" w:ascii="仿宋_GB2312"/>
          <w:color w:val="000000" w:themeColor="text1"/>
          <w:sz w:val="32"/>
          <w:szCs w:val="32"/>
          <w14:textFill>
            <w14:solidFill>
              <w14:schemeClr w14:val="tx1"/>
            </w14:solidFill>
          </w14:textFill>
        </w:rPr>
        <w:t>省律师协会通过抽查的方式对律师的公益法律服务情况进行检查，发现异常时，律师应当作出说明、改正；若发现虚报、谎报等情形，省律师协会将扣减时长，并依据有关规定进行严肃处理。</w:t>
      </w:r>
    </w:p>
    <w:p>
      <w:pPr>
        <w:pStyle w:val="8"/>
        <w:shd w:val="clear" w:color="auto" w:fill="FFFFFF"/>
        <w:spacing w:line="560" w:lineRule="exact"/>
        <w:jc w:val="both"/>
        <w:rPr>
          <w:rFonts w:ascii="仿宋_GB2312"/>
          <w:color w:val="000000" w:themeColor="text1"/>
          <w:sz w:val="32"/>
          <w:szCs w:val="32"/>
          <w14:textFill>
            <w14:solidFill>
              <w14:schemeClr w14:val="tx1"/>
            </w14:solidFill>
          </w14:textFill>
        </w:rPr>
      </w:pPr>
    </w:p>
    <w:p>
      <w:pPr>
        <w:spacing w:line="560" w:lineRule="exact"/>
        <w:jc w:val="center"/>
        <w:rPr>
          <w:rFonts w:ascii="黑体" w:hAnsi="黑体" w:eastAsia="黑体"/>
          <w:color w:val="000000" w:themeColor="text1"/>
          <w:szCs w:val="32"/>
          <w14:textFill>
            <w14:solidFill>
              <w14:schemeClr w14:val="tx1"/>
            </w14:solidFill>
          </w14:textFill>
        </w:rPr>
      </w:pPr>
      <w:r>
        <w:rPr>
          <w:rFonts w:hint="eastAsia" w:ascii="黑体" w:hAnsi="黑体" w:eastAsia="黑体"/>
          <w:color w:val="000000" w:themeColor="text1"/>
          <w:szCs w:val="32"/>
          <w14:textFill>
            <w14:solidFill>
              <w14:schemeClr w14:val="tx1"/>
            </w14:solidFill>
          </w14:textFill>
        </w:rPr>
        <w:t>第四章 其他规定</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第十四条  </w:t>
      </w:r>
      <w:r>
        <w:rPr>
          <w:rFonts w:hint="eastAsia" w:ascii="仿宋_GB2312"/>
          <w:color w:val="000000" w:themeColor="text1"/>
          <w:sz w:val="32"/>
          <w:szCs w:val="32"/>
          <w14:textFill>
            <w14:solidFill>
              <w14:schemeClr w14:val="tx1"/>
            </w14:solidFill>
          </w14:textFill>
        </w:rPr>
        <w:t>律师有以下情形的，在提供相应证明材料后，可向市律师协会申请免予相应的考核：</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（一）律师执业不足1年的；</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（二）女律师处于孕产期的；</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（三）律师因重大疾病、外出学习时间长达四个月及以上的；</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（四）律师已经达到法定退休年龄的；</w:t>
      </w:r>
    </w:p>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bookmarkStart w:id="1" w:name="_Hlk48571961"/>
      <w:r>
        <w:rPr>
          <w:rFonts w:hint="eastAsia" w:ascii="仿宋_GB2312"/>
          <w:color w:val="000000" w:themeColor="text1"/>
          <w:sz w:val="32"/>
          <w:szCs w:val="32"/>
          <w14:textFill>
            <w14:solidFill>
              <w14:schemeClr w14:val="tx1"/>
            </w14:solidFill>
          </w14:textFill>
        </w:rPr>
        <w:t>（五）参加“1+1”中国法律援助志愿者行动等类似法律援助活动的；</w:t>
      </w:r>
    </w:p>
    <w:bookmarkEnd w:id="1"/>
    <w:p>
      <w:pPr>
        <w:pStyle w:val="8"/>
        <w:shd w:val="clear" w:color="auto" w:fill="FFFFFF"/>
        <w:spacing w:line="560" w:lineRule="exact"/>
        <w:ind w:firstLine="640" w:firstLineChars="200"/>
        <w:jc w:val="both"/>
        <w:rPr>
          <w:rFonts w:ascii="仿宋_GB2312"/>
          <w:color w:val="000000" w:themeColor="text1"/>
          <w:sz w:val="32"/>
          <w:szCs w:val="32"/>
          <w14:textFill>
            <w14:solidFill>
              <w14:schemeClr w14:val="tx1"/>
            </w14:solidFill>
          </w14:textFill>
        </w:rPr>
      </w:pPr>
      <w:r>
        <w:rPr>
          <w:rFonts w:hint="eastAsia" w:ascii="仿宋_GB2312"/>
          <w:color w:val="000000" w:themeColor="text1"/>
          <w:sz w:val="32"/>
          <w:szCs w:val="32"/>
          <w14:textFill>
            <w14:solidFill>
              <w14:schemeClr w14:val="tx1"/>
            </w14:solidFill>
          </w14:textFill>
        </w:rPr>
        <w:t>（六）其他律师认为可以免予考核的情形，经市律师协会审核后报省律师协会核定。</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第十五条  </w:t>
      </w:r>
      <w:r>
        <w:rPr>
          <w:rFonts w:hint="eastAsia" w:ascii="仿宋_GB2312"/>
          <w:color w:val="000000" w:themeColor="text1"/>
          <w:sz w:val="32"/>
          <w:szCs w:val="32"/>
          <w14:textFill>
            <w14:solidFill>
              <w14:schemeClr w14:val="tx1"/>
            </w14:solidFill>
          </w14:textFill>
        </w:rPr>
        <w:t>律师年度考核时，律师公益法律服务时长已经达到40小时，但未满50小时，说明理由后允许其将不足的时长顺延至第二年度补足完成，但第二年度考核时公益法律服务时长仍未完成的，视为律师公益法律服务考核未通过。</w:t>
      </w:r>
    </w:p>
    <w:p>
      <w:pPr>
        <w:spacing w:line="560" w:lineRule="exact"/>
        <w:ind w:firstLine="643" w:firstLineChars="200"/>
        <w:rPr>
          <w:rFonts w:ascii="仿宋_GB2312"/>
          <w:color w:val="000000" w:themeColor="text1"/>
          <w:szCs w:val="32"/>
          <w14:textFill>
            <w14:solidFill>
              <w14:schemeClr w14:val="tx1"/>
            </w14:solidFill>
          </w14:textFill>
        </w:rPr>
      </w:pPr>
      <w:r>
        <w:rPr>
          <w:rFonts w:hint="eastAsia" w:ascii="仿宋_GB2312"/>
          <w:b/>
          <w:color w:val="000000" w:themeColor="text1"/>
          <w:szCs w:val="32"/>
          <w14:textFill>
            <w14:solidFill>
              <w14:schemeClr w14:val="tx1"/>
            </w14:solidFill>
          </w14:textFill>
        </w:rPr>
        <w:t xml:space="preserve">第十六条  </w:t>
      </w:r>
      <w:r>
        <w:rPr>
          <w:rFonts w:hint="eastAsia" w:ascii="仿宋_GB2312"/>
          <w:color w:val="000000" w:themeColor="text1"/>
          <w:szCs w:val="32"/>
          <w14:textFill>
            <w14:solidFill>
              <w14:schemeClr w14:val="tx1"/>
            </w14:solidFill>
          </w14:textFill>
        </w:rPr>
        <w:t>律师协会组织开展对律师和事务所进行年度公益法律服务考核时，应当按照本办法执行。</w:t>
      </w:r>
    </w:p>
    <w:p>
      <w:pPr>
        <w:pStyle w:val="8"/>
        <w:shd w:val="clear" w:color="auto" w:fill="FFFFFF"/>
        <w:spacing w:line="560" w:lineRule="exact"/>
        <w:ind w:firstLine="643" w:firstLineChars="200"/>
        <w:jc w:val="both"/>
        <w:rPr>
          <w:rFonts w:ascii="仿宋_GB2312"/>
          <w:color w:val="000000" w:themeColor="text1"/>
          <w:sz w:val="32"/>
          <w:szCs w:val="32"/>
          <w14:textFill>
            <w14:solidFill>
              <w14:schemeClr w14:val="tx1"/>
            </w14:solidFill>
          </w14:textFill>
        </w:rPr>
      </w:pPr>
      <w:r>
        <w:rPr>
          <w:rFonts w:hint="eastAsia" w:ascii="仿宋_GB2312"/>
          <w:b/>
          <w:color w:val="000000" w:themeColor="text1"/>
          <w:sz w:val="32"/>
          <w:szCs w:val="32"/>
          <w14:textFill>
            <w14:solidFill>
              <w14:schemeClr w14:val="tx1"/>
            </w14:solidFill>
          </w14:textFill>
        </w:rPr>
        <w:t xml:space="preserve">第十七条  </w:t>
      </w:r>
      <w:r>
        <w:rPr>
          <w:rFonts w:hint="eastAsia" w:ascii="仿宋_GB2312"/>
          <w:color w:val="000000" w:themeColor="text1"/>
          <w:sz w:val="32"/>
          <w:szCs w:val="32"/>
          <w14:textFill>
            <w14:solidFill>
              <w14:schemeClr w14:val="tx1"/>
            </w14:solidFill>
          </w14:textFill>
        </w:rPr>
        <w:t>本办法由浙江省律师协会常务理事会负责解释，从202</w:t>
      </w:r>
      <w:r>
        <w:rPr>
          <w:rFonts w:ascii="仿宋_GB2312"/>
          <w:color w:val="000000" w:themeColor="text1"/>
          <w:sz w:val="32"/>
          <w:szCs w:val="32"/>
          <w14:textFill>
            <w14:solidFill>
              <w14:schemeClr w14:val="tx1"/>
            </w14:solidFill>
          </w14:textFill>
        </w:rPr>
        <w:t>1</w:t>
      </w:r>
      <w:r>
        <w:rPr>
          <w:rFonts w:hint="eastAsia" w:ascii="仿宋_GB2312"/>
          <w:color w:val="000000" w:themeColor="text1"/>
          <w:sz w:val="32"/>
          <w:szCs w:val="32"/>
          <w14:textFill>
            <w14:solidFill>
              <w14:schemeClr w14:val="tx1"/>
            </w14:solidFill>
          </w14:textFill>
        </w:rPr>
        <w:t>年</w:t>
      </w:r>
      <w:r>
        <w:rPr>
          <w:rFonts w:ascii="仿宋_GB2312"/>
          <w:color w:val="000000" w:themeColor="text1"/>
          <w:sz w:val="32"/>
          <w:szCs w:val="32"/>
          <w14:textFill>
            <w14:solidFill>
              <w14:schemeClr w14:val="tx1"/>
            </w14:solidFill>
          </w14:textFill>
        </w:rPr>
        <w:t>1</w:t>
      </w:r>
      <w:r>
        <w:rPr>
          <w:rFonts w:hint="eastAsia" w:ascii="仿宋_GB2312"/>
          <w:color w:val="000000" w:themeColor="text1"/>
          <w:sz w:val="32"/>
          <w:szCs w:val="32"/>
          <w14:textFill>
            <w14:solidFill>
              <w14:schemeClr w14:val="tx1"/>
            </w14:solidFill>
          </w14:textFill>
        </w:rPr>
        <w:t>月</w:t>
      </w:r>
      <w:r>
        <w:rPr>
          <w:rFonts w:ascii="仿宋_GB2312"/>
          <w:color w:val="000000" w:themeColor="text1"/>
          <w:sz w:val="32"/>
          <w:szCs w:val="32"/>
          <w14:textFill>
            <w14:solidFill>
              <w14:schemeClr w14:val="tx1"/>
            </w14:solidFill>
          </w14:textFill>
        </w:rPr>
        <w:t>1</w:t>
      </w:r>
      <w:r>
        <w:rPr>
          <w:rFonts w:hint="eastAsia" w:ascii="仿宋_GB2312"/>
          <w:color w:val="000000" w:themeColor="text1"/>
          <w:sz w:val="32"/>
          <w:szCs w:val="32"/>
          <w14:textFill>
            <w14:solidFill>
              <w14:schemeClr w14:val="tx1"/>
            </w14:solidFill>
          </w14:textFill>
        </w:rPr>
        <w:t>日开始实施，试行二年。</w:t>
      </w:r>
    </w:p>
    <w:p>
      <w:pPr>
        <w:spacing w:line="560" w:lineRule="exact"/>
        <w:rPr>
          <w:rFonts w:ascii="仿宋_GB2312"/>
          <w:color w:val="000000" w:themeColor="text1"/>
          <w:szCs w:val="32"/>
          <w14:textFill>
            <w14:solidFill>
              <w14:schemeClr w14:val="tx1"/>
            </w14:solidFill>
          </w14:textFill>
        </w:rPr>
      </w:pPr>
    </w:p>
    <w:p>
      <w:pPr>
        <w:spacing w:line="560" w:lineRule="exact"/>
        <w:rPr>
          <w:rFonts w:ascii="仿宋_GB2312" w:hAnsi="等线"/>
          <w:color w:val="000000" w:themeColor="text1"/>
          <w:szCs w:val="32"/>
          <w14:textFill>
            <w14:solidFill>
              <w14:schemeClr w14:val="tx1"/>
            </w14:solidFill>
          </w14:textFill>
        </w:rPr>
      </w:pPr>
      <w:r>
        <w:rPr>
          <w:rFonts w:hint="eastAsia" w:ascii="仿宋_GB2312"/>
          <w:color w:val="000000" w:themeColor="text1"/>
          <w:szCs w:val="32"/>
          <w14:textFill>
            <w14:solidFill>
              <w14:schemeClr w14:val="tx1"/>
            </w14:solidFill>
          </w14:textFill>
        </w:rPr>
        <w:t>附件：1.****</w:t>
      </w:r>
      <w:r>
        <w:rPr>
          <w:rFonts w:hint="eastAsia" w:ascii="仿宋_GB2312" w:hAnsi="等线"/>
          <w:color w:val="000000" w:themeColor="text1"/>
          <w:szCs w:val="32"/>
          <w14:textFill>
            <w14:solidFill>
              <w14:schemeClr w14:val="tx1"/>
            </w14:solidFill>
          </w14:textFill>
        </w:rPr>
        <w:t>年度律师参与公益法律服务报告表</w:t>
      </w:r>
    </w:p>
    <w:p>
      <w:pPr>
        <w:spacing w:line="560" w:lineRule="exact"/>
        <w:ind w:left="1280" w:leftChars="300" w:hanging="320" w:hangingChars="100"/>
        <w:rPr>
          <w:rFonts w:ascii="仿宋_GB2312"/>
          <w:color w:val="000000" w:themeColor="text1"/>
          <w:szCs w:val="32"/>
          <w14:textFill>
            <w14:solidFill>
              <w14:schemeClr w14:val="tx1"/>
            </w14:solidFill>
          </w14:textFill>
        </w:rPr>
      </w:pPr>
      <w:r>
        <w:rPr>
          <w:rFonts w:hint="eastAsia" w:ascii="仿宋_GB2312"/>
          <w:color w:val="000000" w:themeColor="text1"/>
          <w:szCs w:val="32"/>
          <w14:textFill>
            <w14:solidFill>
              <w14:schemeClr w14:val="tx1"/>
            </w14:solidFill>
          </w14:textFill>
        </w:rPr>
        <w:t>2.</w:t>
      </w:r>
      <w:r>
        <w:rPr>
          <w:rFonts w:hint="eastAsia" w:ascii="仿宋_GB2312" w:hAnsi="等线"/>
          <w:color w:val="000000" w:themeColor="text1"/>
          <w:szCs w:val="32"/>
          <w14:textFill>
            <w14:solidFill>
              <w14:schemeClr w14:val="tx1"/>
            </w14:solidFill>
          </w14:textFill>
        </w:rPr>
        <w:t>****年度****律师事务所律师参与公益法律服务统计表</w:t>
      </w:r>
    </w:p>
    <w:p>
      <w:pPr>
        <w:ind w:firstLine="640" w:firstLineChars="200"/>
        <w:jc w:val="left"/>
        <w:rPr>
          <w:rFonts w:ascii="仿宋_GB2312"/>
          <w:color w:val="000000" w:themeColor="text1"/>
          <w:szCs w:val="32"/>
          <w14:textFill>
            <w14:solidFill>
              <w14:schemeClr w14:val="tx1"/>
            </w14:solidFill>
          </w14:textFill>
        </w:rPr>
      </w:pPr>
    </w:p>
    <w:p>
      <w:pPr>
        <w:ind w:firstLine="640" w:firstLineChars="200"/>
        <w:jc w:val="left"/>
        <w:rPr>
          <w:rFonts w:ascii="仿宋_GB2312"/>
          <w:color w:val="000000" w:themeColor="text1"/>
          <w:szCs w:val="32"/>
          <w14:textFill>
            <w14:solidFill>
              <w14:schemeClr w14:val="tx1"/>
            </w14:solidFill>
          </w14:textFill>
        </w:rPr>
      </w:pPr>
    </w:p>
    <w:p>
      <w:pPr>
        <w:ind w:firstLine="640" w:firstLineChars="200"/>
        <w:jc w:val="left"/>
        <w:rPr>
          <w:rFonts w:hint="eastAsia" w:ascii="仿宋_GB2312"/>
          <w:color w:val="000000" w:themeColor="text1"/>
          <w:szCs w:val="32"/>
          <w14:textFill>
            <w14:solidFill>
              <w14:schemeClr w14:val="tx1"/>
            </w14:solidFill>
          </w14:textFill>
        </w:rPr>
      </w:pPr>
    </w:p>
    <w:p>
      <w:pPr>
        <w:ind w:firstLine="640" w:firstLineChars="200"/>
        <w:jc w:val="left"/>
        <w:rPr>
          <w:rFonts w:hint="eastAsia" w:ascii="仿宋_GB2312"/>
          <w:color w:val="000000" w:themeColor="text1"/>
          <w:szCs w:val="32"/>
          <w14:textFill>
            <w14:solidFill>
              <w14:schemeClr w14:val="tx1"/>
            </w14:solidFill>
          </w14:textFill>
        </w:rPr>
      </w:pPr>
    </w:p>
    <w:p>
      <w:pPr>
        <w:ind w:firstLine="640" w:firstLineChars="200"/>
        <w:jc w:val="left"/>
        <w:rPr>
          <w:rFonts w:hint="eastAsia" w:ascii="仿宋_GB2312"/>
          <w:color w:val="000000" w:themeColor="text1"/>
          <w:szCs w:val="32"/>
          <w14:textFill>
            <w14:solidFill>
              <w14:schemeClr w14:val="tx1"/>
            </w14:solidFill>
          </w14:textFill>
        </w:rPr>
      </w:pPr>
    </w:p>
    <w:p>
      <w:pPr>
        <w:ind w:firstLine="640" w:firstLineChars="200"/>
        <w:jc w:val="left"/>
        <w:rPr>
          <w:rFonts w:hint="eastAsia" w:ascii="仿宋_GB2312"/>
          <w:color w:val="000000" w:themeColor="text1"/>
          <w:szCs w:val="32"/>
          <w14:textFill>
            <w14:solidFill>
              <w14:schemeClr w14:val="tx1"/>
            </w14:solidFill>
          </w14:textFill>
        </w:rPr>
      </w:pPr>
    </w:p>
    <w:p>
      <w:pPr>
        <w:ind w:firstLine="640" w:firstLineChars="200"/>
        <w:jc w:val="left"/>
        <w:rPr>
          <w:rFonts w:hint="eastAsia" w:ascii="仿宋_GB2312"/>
          <w:color w:val="000000" w:themeColor="text1"/>
          <w:szCs w:val="32"/>
          <w14:textFill>
            <w14:solidFill>
              <w14:schemeClr w14:val="tx1"/>
            </w14:solidFill>
          </w14:textFill>
        </w:rPr>
      </w:pPr>
    </w:p>
    <w:p>
      <w:pPr>
        <w:ind w:firstLine="640" w:firstLineChars="200"/>
        <w:jc w:val="left"/>
        <w:rPr>
          <w:rFonts w:hint="eastAsia" w:ascii="仿宋_GB2312"/>
          <w:color w:val="000000" w:themeColor="text1"/>
          <w:szCs w:val="32"/>
          <w14:textFill>
            <w14:solidFill>
              <w14:schemeClr w14:val="tx1"/>
            </w14:solidFill>
          </w14:textFill>
        </w:rPr>
      </w:pPr>
    </w:p>
    <w:p>
      <w:pPr>
        <w:ind w:firstLine="640" w:firstLineChars="200"/>
        <w:jc w:val="left"/>
        <w:rPr>
          <w:rFonts w:hint="eastAsia" w:ascii="仿宋_GB2312"/>
          <w:color w:val="000000" w:themeColor="text1"/>
          <w:szCs w:val="32"/>
          <w14:textFill>
            <w14:solidFill>
              <w14:schemeClr w14:val="tx1"/>
            </w14:solidFill>
          </w14:textFill>
        </w:rPr>
      </w:pPr>
    </w:p>
    <w:p>
      <w:pPr>
        <w:ind w:firstLine="640" w:firstLineChars="200"/>
        <w:jc w:val="left"/>
        <w:rPr>
          <w:rFonts w:hint="eastAsia" w:ascii="仿宋_GB2312"/>
          <w:color w:val="000000" w:themeColor="text1"/>
          <w:szCs w:val="32"/>
          <w14:textFill>
            <w14:solidFill>
              <w14:schemeClr w14:val="tx1"/>
            </w14:solidFill>
          </w14:textFill>
        </w:rPr>
      </w:pPr>
    </w:p>
    <w:p>
      <w:pPr>
        <w:ind w:firstLine="640" w:firstLineChars="200"/>
        <w:jc w:val="left"/>
        <w:rPr>
          <w:rFonts w:ascii="仿宋_GB2312"/>
          <w:color w:val="000000" w:themeColor="text1"/>
          <w:szCs w:val="32"/>
          <w14:textFill>
            <w14:solidFill>
              <w14:schemeClr w14:val="tx1"/>
            </w14:solidFill>
          </w14:textFill>
        </w:rPr>
      </w:pPr>
    </w:p>
    <w:p>
      <w:pPr>
        <w:jc w:val="left"/>
        <w:rPr>
          <w:rFonts w:ascii="黑体" w:hAnsi="黑体" w:eastAsia="黑体"/>
          <w:color w:val="000000" w:themeColor="text1"/>
          <w:szCs w:val="32"/>
          <w14:textFill>
            <w14:solidFill>
              <w14:schemeClr w14:val="tx1"/>
            </w14:solidFill>
          </w14:textFill>
        </w:rPr>
      </w:pPr>
      <w:r>
        <w:rPr>
          <w:rFonts w:hint="eastAsia" w:ascii="黑体" w:hAnsi="黑体" w:eastAsia="黑体"/>
          <w:color w:val="000000" w:themeColor="text1"/>
          <w:szCs w:val="32"/>
          <w14:textFill>
            <w14:solidFill>
              <w14:schemeClr w14:val="tx1"/>
            </w14:solidFill>
          </w14:textFill>
        </w:rPr>
        <w:t>附件1</w:t>
      </w:r>
    </w:p>
    <w:p>
      <w:pPr>
        <w:spacing w:after="120" w:afterLines="50"/>
        <w:jc w:val="center"/>
        <w:rPr>
          <w:rFonts w:ascii="方正小标宋简体" w:hAnsi="等线" w:eastAsia="方正小标宋简体"/>
          <w:b/>
          <w:color w:val="000000" w:themeColor="text1"/>
          <w:sz w:val="44"/>
          <w:szCs w:val="44"/>
          <w14:textFill>
            <w14:solidFill>
              <w14:schemeClr w14:val="tx1"/>
            </w14:solidFill>
          </w14:textFill>
        </w:rPr>
      </w:pPr>
      <w:r>
        <w:rPr>
          <w:rFonts w:hint="eastAsia" w:ascii="方正小标宋简体" w:hAnsi="等线" w:eastAsia="方正小标宋简体"/>
          <w:b/>
          <w:color w:val="000000" w:themeColor="text1"/>
          <w:sz w:val="44"/>
          <w:szCs w:val="44"/>
          <w:u w:val="single"/>
          <w14:textFill>
            <w14:solidFill>
              <w14:schemeClr w14:val="tx1"/>
            </w14:solidFill>
          </w14:textFill>
        </w:rPr>
        <w:t xml:space="preserve">     </w:t>
      </w:r>
      <w:r>
        <w:rPr>
          <w:rFonts w:hint="eastAsia" w:ascii="方正小标宋简体" w:hAnsi="等线" w:eastAsia="方正小标宋简体"/>
          <w:b/>
          <w:color w:val="000000" w:themeColor="text1"/>
          <w:sz w:val="44"/>
          <w:szCs w:val="44"/>
          <w14:textFill>
            <w14:solidFill>
              <w14:schemeClr w14:val="tx1"/>
            </w14:solidFill>
          </w14:textFill>
        </w:rPr>
        <w:t>年度律师参与公益法律服务申报表</w:t>
      </w:r>
    </w:p>
    <w:tbl>
      <w:tblPr>
        <w:tblStyle w:val="10"/>
        <w:tblW w:w="9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
        <w:gridCol w:w="1226"/>
        <w:gridCol w:w="1283"/>
        <w:gridCol w:w="1395"/>
        <w:gridCol w:w="1525"/>
        <w:gridCol w:w="991"/>
        <w:gridCol w:w="1283"/>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935" w:type="dxa"/>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姓名</w:t>
            </w:r>
          </w:p>
        </w:tc>
        <w:tc>
          <w:tcPr>
            <w:tcW w:w="1375" w:type="dxa"/>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执业证号</w:t>
            </w:r>
          </w:p>
        </w:tc>
        <w:tc>
          <w:tcPr>
            <w:tcW w:w="2892" w:type="dxa"/>
            <w:gridSpan w:val="2"/>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p>
        </w:tc>
        <w:tc>
          <w:tcPr>
            <w:tcW w:w="836" w:type="dxa"/>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所在</w:t>
            </w:r>
          </w:p>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律所</w:t>
            </w:r>
          </w:p>
        </w:tc>
        <w:tc>
          <w:tcPr>
            <w:tcW w:w="2433" w:type="dxa"/>
            <w:gridSpan w:val="2"/>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2310" w:type="dxa"/>
            <w:gridSpan w:val="2"/>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公益活动/案件名称</w:t>
            </w:r>
          </w:p>
        </w:tc>
        <w:tc>
          <w:tcPr>
            <w:tcW w:w="1216" w:type="dxa"/>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时间</w:t>
            </w:r>
          </w:p>
        </w:tc>
        <w:tc>
          <w:tcPr>
            <w:tcW w:w="1361" w:type="dxa"/>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地点</w:t>
            </w:r>
          </w:p>
        </w:tc>
        <w:tc>
          <w:tcPr>
            <w:tcW w:w="1531" w:type="dxa"/>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服务内容</w:t>
            </w:r>
          </w:p>
        </w:tc>
        <w:tc>
          <w:tcPr>
            <w:tcW w:w="836" w:type="dxa"/>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服务</w:t>
            </w:r>
          </w:p>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计时</w:t>
            </w:r>
          </w:p>
        </w:tc>
        <w:tc>
          <w:tcPr>
            <w:tcW w:w="1216" w:type="dxa"/>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证明人</w:t>
            </w:r>
          </w:p>
        </w:tc>
        <w:tc>
          <w:tcPr>
            <w:tcW w:w="1217" w:type="dxa"/>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证明人</w:t>
            </w:r>
          </w:p>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310" w:type="dxa"/>
            <w:gridSpan w:val="2"/>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361"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531"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83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7"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2310" w:type="dxa"/>
            <w:gridSpan w:val="2"/>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361"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531"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83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7"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2310" w:type="dxa"/>
            <w:gridSpan w:val="2"/>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361"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531"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83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7"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2310" w:type="dxa"/>
            <w:gridSpan w:val="2"/>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361"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531"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83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7"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2310" w:type="dxa"/>
            <w:gridSpan w:val="2"/>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361"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531"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83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6"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c>
          <w:tcPr>
            <w:tcW w:w="1217" w:type="dxa"/>
            <w:vAlign w:val="center"/>
          </w:tcPr>
          <w:p>
            <w:pPr>
              <w:widowControl w:val="0"/>
              <w:spacing w:line="320" w:lineRule="exact"/>
              <w:jc w:val="center"/>
              <w:rPr>
                <w:rFonts w:ascii="宋体" w:hAnsi="宋体" w:eastAsia="宋体"/>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2310" w:type="dxa"/>
            <w:gridSpan w:val="2"/>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合计服务时长</w:t>
            </w:r>
          </w:p>
        </w:tc>
        <w:tc>
          <w:tcPr>
            <w:tcW w:w="7377" w:type="dxa"/>
            <w:gridSpan w:val="6"/>
            <w:vAlign w:val="center"/>
          </w:tcPr>
          <w:p>
            <w:pPr>
              <w:widowControl w:val="0"/>
              <w:spacing w:line="320" w:lineRule="exact"/>
              <w:jc w:val="center"/>
              <w:rPr>
                <w:rFonts w:ascii="宋体" w:hAnsi="宋体" w:eastAsia="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9687" w:type="dxa"/>
            <w:gridSpan w:val="8"/>
            <w:vAlign w:val="center"/>
          </w:tcPr>
          <w:p>
            <w:pPr>
              <w:widowControl w:val="0"/>
              <w:spacing w:line="480" w:lineRule="exact"/>
              <w:ind w:firstLine="480" w:firstLineChars="200"/>
              <w:jc w:val="left"/>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本人承诺：对上述</w:t>
            </w:r>
            <w:r>
              <w:rPr>
                <w:rFonts w:ascii="宋体" w:hAnsi="宋体" w:eastAsia="宋体"/>
                <w:color w:val="000000" w:themeColor="text1"/>
                <w:sz w:val="24"/>
                <w14:textFill>
                  <w14:solidFill>
                    <w14:schemeClr w14:val="tx1"/>
                  </w14:solidFill>
                </w14:textFill>
              </w:rPr>
              <w:t>参与公益法律服务</w:t>
            </w:r>
            <w:r>
              <w:rPr>
                <w:rFonts w:hint="eastAsia" w:ascii="宋体" w:hAnsi="宋体" w:eastAsia="宋体"/>
                <w:color w:val="000000" w:themeColor="text1"/>
                <w:sz w:val="24"/>
                <w14:textFill>
                  <w14:solidFill>
                    <w14:schemeClr w14:val="tx1"/>
                  </w14:solidFill>
                </w14:textFill>
              </w:rPr>
              <w:t>的</w:t>
            </w:r>
            <w:r>
              <w:rPr>
                <w:rFonts w:ascii="宋体" w:hAnsi="宋体" w:eastAsia="宋体"/>
                <w:color w:val="000000" w:themeColor="text1"/>
                <w:sz w:val="24"/>
                <w14:textFill>
                  <w14:solidFill>
                    <w14:schemeClr w14:val="tx1"/>
                  </w14:solidFill>
                </w14:textFill>
              </w:rPr>
              <w:t>申报</w:t>
            </w:r>
            <w:r>
              <w:rPr>
                <w:rFonts w:hint="eastAsia" w:ascii="宋体" w:hAnsi="宋体" w:eastAsia="宋体"/>
                <w:color w:val="000000" w:themeColor="text1"/>
                <w:sz w:val="24"/>
                <w14:textFill>
                  <w14:solidFill>
                    <w14:schemeClr w14:val="tx1"/>
                  </w14:solidFill>
                </w14:textFill>
              </w:rPr>
              <w:t>内容及提供相关材料的真实性负责，并保证不存在虚报、谎报、弄虚作假等情形，否则，本人愿意接受按照相关规定作出的处理。</w:t>
            </w:r>
          </w:p>
          <w:p>
            <w:pPr>
              <w:widowControl w:val="0"/>
              <w:spacing w:line="480" w:lineRule="exact"/>
              <w:ind w:firstLine="6840" w:firstLineChars="2850"/>
              <w:jc w:val="left"/>
              <w:rPr>
                <w:rFonts w:ascii="宋体" w:hAnsi="宋体" w:eastAsia="宋体"/>
                <w:color w:val="000000" w:themeColor="text1"/>
                <w:sz w:val="24"/>
                <w14:textFill>
                  <w14:solidFill>
                    <w14:schemeClr w14:val="tx1"/>
                  </w14:solidFill>
                </w14:textFill>
              </w:rPr>
            </w:pPr>
          </w:p>
          <w:p>
            <w:pPr>
              <w:widowControl w:val="0"/>
              <w:spacing w:line="480" w:lineRule="exact"/>
              <w:ind w:firstLine="6840" w:firstLineChars="2850"/>
              <w:jc w:val="left"/>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承诺人：</w:t>
            </w:r>
          </w:p>
          <w:p>
            <w:pPr>
              <w:widowControl w:val="0"/>
              <w:spacing w:line="480" w:lineRule="exact"/>
              <w:ind w:firstLine="7200" w:firstLineChars="3000"/>
              <w:jc w:val="left"/>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年   月   日</w:t>
            </w:r>
          </w:p>
        </w:tc>
      </w:tr>
    </w:tbl>
    <w:p>
      <w:pPr>
        <w:rPr>
          <w:rFonts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附：相关书面证明材料。</w:t>
      </w:r>
    </w:p>
    <w:p>
      <w:pPr>
        <w:jc w:val="left"/>
        <w:rPr>
          <w:rFonts w:ascii="仿宋_GB2312"/>
          <w:color w:val="000000" w:themeColor="text1"/>
          <w:szCs w:val="32"/>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注：本表可在浙江省律师综合管理信息系统的“公益法律服务情况栏”下载，填入相关信息后可直接导入系统。</w:t>
      </w:r>
    </w:p>
    <w:p>
      <w:pPr>
        <w:spacing w:before="240" w:beforeLines="100"/>
        <w:jc w:val="left"/>
        <w:rPr>
          <w:rFonts w:ascii="黑体" w:hAnsi="黑体" w:eastAsia="黑体"/>
          <w:color w:val="000000" w:themeColor="text1"/>
          <w:szCs w:val="32"/>
          <w14:textFill>
            <w14:solidFill>
              <w14:schemeClr w14:val="tx1"/>
            </w14:solidFill>
          </w14:textFill>
        </w:rPr>
      </w:pPr>
      <w:r>
        <w:rPr>
          <w:rFonts w:hint="eastAsia" w:ascii="黑体" w:hAnsi="黑体" w:eastAsia="黑体"/>
          <w:color w:val="000000" w:themeColor="text1"/>
          <w:szCs w:val="32"/>
          <w14:textFill>
            <w14:solidFill>
              <w14:schemeClr w14:val="tx1"/>
            </w14:solidFill>
          </w14:textFill>
        </w:rPr>
        <w:t>附件</w:t>
      </w:r>
      <w:r>
        <w:rPr>
          <w:rFonts w:ascii="黑体" w:hAnsi="黑体" w:eastAsia="黑体"/>
          <w:color w:val="000000" w:themeColor="text1"/>
          <w:szCs w:val="32"/>
          <w14:textFill>
            <w14:solidFill>
              <w14:schemeClr w14:val="tx1"/>
            </w14:solidFill>
          </w14:textFill>
        </w:rPr>
        <w:t>2</w:t>
      </w:r>
    </w:p>
    <w:p>
      <w:pPr>
        <w:spacing w:line="700" w:lineRule="exact"/>
        <w:jc w:val="center"/>
        <w:rPr>
          <w:rFonts w:ascii="方正小标宋简体" w:hAnsi="等线" w:eastAsia="方正小标宋简体"/>
          <w:b/>
          <w:color w:val="000000" w:themeColor="text1"/>
          <w:sz w:val="44"/>
          <w:szCs w:val="44"/>
          <w14:textFill>
            <w14:solidFill>
              <w14:schemeClr w14:val="tx1"/>
            </w14:solidFill>
          </w14:textFill>
        </w:rPr>
      </w:pPr>
      <w:r>
        <w:rPr>
          <w:rFonts w:hint="eastAsia" w:ascii="方正小标宋简体" w:hAnsi="等线" w:eastAsia="方正小标宋简体"/>
          <w:b/>
          <w:color w:val="000000" w:themeColor="text1"/>
          <w:sz w:val="44"/>
          <w:szCs w:val="44"/>
          <w:u w:val="single"/>
          <w14:textFill>
            <w14:solidFill>
              <w14:schemeClr w14:val="tx1"/>
            </w14:solidFill>
          </w14:textFill>
        </w:rPr>
        <w:t xml:space="preserve">      </w:t>
      </w:r>
      <w:r>
        <w:rPr>
          <w:rFonts w:hint="eastAsia" w:ascii="方正小标宋简体" w:hAnsi="等线" w:eastAsia="方正小标宋简体"/>
          <w:b/>
          <w:color w:val="000000" w:themeColor="text1"/>
          <w:sz w:val="44"/>
          <w:szCs w:val="44"/>
          <w14:textFill>
            <w14:solidFill>
              <w14:schemeClr w14:val="tx1"/>
            </w14:solidFill>
          </w14:textFill>
        </w:rPr>
        <w:t>年度</w:t>
      </w:r>
      <w:r>
        <w:rPr>
          <w:rFonts w:hint="eastAsia" w:ascii="方正小标宋简体" w:hAnsi="等线" w:eastAsia="方正小标宋简体"/>
          <w:b/>
          <w:color w:val="000000" w:themeColor="text1"/>
          <w:sz w:val="44"/>
          <w:szCs w:val="44"/>
          <w:u w:val="single"/>
          <w14:textFill>
            <w14:solidFill>
              <w14:schemeClr w14:val="tx1"/>
            </w14:solidFill>
          </w14:textFill>
        </w:rPr>
        <w:t xml:space="preserve">         </w:t>
      </w:r>
      <w:r>
        <w:rPr>
          <w:rFonts w:hint="eastAsia" w:ascii="方正小标宋简体" w:hAnsi="等线" w:eastAsia="方正小标宋简体"/>
          <w:b/>
          <w:color w:val="000000" w:themeColor="text1"/>
          <w:sz w:val="44"/>
          <w:szCs w:val="44"/>
          <w14:textFill>
            <w14:solidFill>
              <w14:schemeClr w14:val="tx1"/>
            </w14:solidFill>
          </w14:textFill>
        </w:rPr>
        <w:t>律师事务所律师</w:t>
      </w:r>
    </w:p>
    <w:p>
      <w:pPr>
        <w:spacing w:after="120" w:afterLines="50" w:line="700" w:lineRule="exact"/>
        <w:jc w:val="center"/>
        <w:rPr>
          <w:rFonts w:ascii="方正小标宋简体" w:hAnsi="等线" w:eastAsia="方正小标宋简体"/>
          <w:b/>
          <w:color w:val="000000" w:themeColor="text1"/>
          <w:sz w:val="36"/>
          <w:szCs w:val="36"/>
          <w14:textFill>
            <w14:solidFill>
              <w14:schemeClr w14:val="tx1"/>
            </w14:solidFill>
          </w14:textFill>
        </w:rPr>
      </w:pPr>
      <w:r>
        <w:rPr>
          <w:rFonts w:hint="eastAsia" w:ascii="方正小标宋简体" w:hAnsi="等线" w:eastAsia="方正小标宋简体"/>
          <w:b/>
          <w:color w:val="000000" w:themeColor="text1"/>
          <w:sz w:val="44"/>
          <w:szCs w:val="44"/>
          <w14:textFill>
            <w14:solidFill>
              <w14:schemeClr w14:val="tx1"/>
            </w14:solidFill>
          </w14:textFill>
        </w:rPr>
        <w:t>参与公益法律服务统计表</w:t>
      </w:r>
    </w:p>
    <w:tbl>
      <w:tblPr>
        <w:tblStyle w:val="19"/>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0"/>
        <w:gridCol w:w="1714"/>
        <w:gridCol w:w="2682"/>
        <w:gridCol w:w="1836"/>
        <w:gridCol w:w="1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r>
              <w:rPr>
                <w:rFonts w:hint="eastAsia" w:ascii="宋体" w:hAnsi="宋体" w:eastAsia="宋体"/>
                <w:color w:val="000000" w:themeColor="text1"/>
                <w:kern w:val="2"/>
                <w:sz w:val="24"/>
                <w:szCs w:val="22"/>
                <w14:textFill>
                  <w14:solidFill>
                    <w14:schemeClr w14:val="tx1"/>
                  </w14:solidFill>
                </w14:textFill>
              </w:rPr>
              <w:t>序号</w:t>
            </w: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r>
              <w:rPr>
                <w:rFonts w:hint="eastAsia" w:ascii="宋体" w:hAnsi="宋体" w:eastAsia="宋体"/>
                <w:color w:val="000000" w:themeColor="text1"/>
                <w:kern w:val="2"/>
                <w:sz w:val="24"/>
                <w:szCs w:val="22"/>
                <w14:textFill>
                  <w14:solidFill>
                    <w14:schemeClr w14:val="tx1"/>
                  </w14:solidFill>
                </w14:textFill>
              </w:rPr>
              <w:t>执业律师</w:t>
            </w: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r>
              <w:rPr>
                <w:rFonts w:hint="eastAsia" w:ascii="宋体" w:hAnsi="宋体" w:eastAsia="宋体"/>
                <w:color w:val="000000" w:themeColor="text1"/>
                <w:kern w:val="2"/>
                <w:sz w:val="24"/>
                <w:szCs w:val="22"/>
                <w14:textFill>
                  <w14:solidFill>
                    <w14:schemeClr w14:val="tx1"/>
                  </w14:solidFill>
                </w14:textFill>
              </w:rPr>
              <w:t>执业证号</w:t>
            </w: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r>
              <w:rPr>
                <w:rFonts w:hint="eastAsia" w:ascii="宋体" w:hAnsi="宋体" w:eastAsia="宋体"/>
                <w:color w:val="000000" w:themeColor="text1"/>
                <w:kern w:val="2"/>
                <w:sz w:val="24"/>
                <w:szCs w:val="22"/>
                <w14:textFill>
                  <w14:solidFill>
                    <w14:schemeClr w14:val="tx1"/>
                  </w14:solidFill>
                </w14:textFill>
              </w:rPr>
              <w:t>服务时长</w:t>
            </w: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r>
              <w:rPr>
                <w:rFonts w:hint="eastAsia" w:ascii="宋体" w:hAnsi="宋体" w:eastAsia="宋体"/>
                <w:color w:val="000000" w:themeColor="text1"/>
                <w:kern w:val="2"/>
                <w:sz w:val="24"/>
                <w:szCs w:val="22"/>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470"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2682"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836" w:type="dxa"/>
            <w:vAlign w:val="center"/>
          </w:tcPr>
          <w:p>
            <w:pPr>
              <w:jc w:val="center"/>
              <w:rPr>
                <w:rFonts w:ascii="宋体" w:hAnsi="宋体" w:eastAsia="宋体"/>
                <w:color w:val="000000" w:themeColor="text1"/>
                <w:kern w:val="2"/>
                <w:sz w:val="24"/>
                <w:szCs w:val="22"/>
                <w14:textFill>
                  <w14:solidFill>
                    <w14:schemeClr w14:val="tx1"/>
                  </w14:solidFill>
                </w14:textFill>
              </w:rPr>
            </w:pPr>
          </w:p>
        </w:tc>
        <w:tc>
          <w:tcPr>
            <w:tcW w:w="1714" w:type="dxa"/>
            <w:vAlign w:val="center"/>
          </w:tcPr>
          <w:p>
            <w:pPr>
              <w:jc w:val="center"/>
              <w:rPr>
                <w:rFonts w:ascii="宋体" w:hAnsi="宋体" w:eastAsia="宋体"/>
                <w:color w:val="000000" w:themeColor="text1"/>
                <w:kern w:val="2"/>
                <w:sz w:val="24"/>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9416" w:type="dxa"/>
            <w:gridSpan w:val="5"/>
            <w:vAlign w:val="center"/>
          </w:tcPr>
          <w:p>
            <w:pPr>
              <w:ind w:firstLine="480" w:firstLineChars="200"/>
              <w:jc w:val="left"/>
              <w:rPr>
                <w:rFonts w:ascii="宋体" w:hAnsi="宋体" w:eastAsia="宋体"/>
                <w:color w:val="000000" w:themeColor="text1"/>
                <w:kern w:val="2"/>
                <w:sz w:val="24"/>
                <w:szCs w:val="22"/>
                <w14:textFill>
                  <w14:solidFill>
                    <w14:schemeClr w14:val="tx1"/>
                  </w14:solidFill>
                </w14:textFill>
              </w:rPr>
            </w:pPr>
            <w:r>
              <w:rPr>
                <w:rFonts w:hint="eastAsia" w:ascii="宋体" w:hAnsi="宋体" w:eastAsia="宋体"/>
                <w:color w:val="000000" w:themeColor="text1"/>
                <w:kern w:val="2"/>
                <w:sz w:val="24"/>
                <w:szCs w:val="22"/>
                <w14:textFill>
                  <w14:solidFill>
                    <w14:schemeClr w14:val="tx1"/>
                  </w14:solidFill>
                </w14:textFill>
              </w:rPr>
              <w:t>本所承诺：已对本所执业律师参与2</w:t>
            </w:r>
            <w:r>
              <w:rPr>
                <w:rFonts w:ascii="宋体" w:hAnsi="宋体" w:eastAsia="宋体"/>
                <w:color w:val="000000" w:themeColor="text1"/>
                <w:kern w:val="2"/>
                <w:sz w:val="24"/>
                <w:szCs w:val="22"/>
                <w14:textFill>
                  <w14:solidFill>
                    <w14:schemeClr w14:val="tx1"/>
                  </w14:solidFill>
                </w14:textFill>
              </w:rPr>
              <w:t>0</w:t>
            </w:r>
            <w:r>
              <w:rPr>
                <w:rFonts w:hint="eastAsia" w:ascii="宋体" w:hAnsi="宋体" w:eastAsia="宋体"/>
                <w:color w:val="000000" w:themeColor="text1"/>
                <w:kern w:val="2"/>
                <w:sz w:val="24"/>
                <w:szCs w:val="22"/>
                <w14:textFill>
                  <w14:solidFill>
                    <w14:schemeClr w14:val="tx1"/>
                  </w14:solidFill>
                </w14:textFill>
              </w:rPr>
              <w:t>XX年度公益法律服务的真实性进行了审核，现将有关情况上报，并保证不存在虚报、谎报、弄虚作假等情形，否则，本所愿意接受按照相关规定作出的处理。</w:t>
            </w:r>
          </w:p>
          <w:p>
            <w:pPr>
              <w:ind w:firstLine="480" w:firstLineChars="200"/>
              <w:jc w:val="left"/>
              <w:rPr>
                <w:rFonts w:ascii="宋体" w:hAnsi="宋体" w:eastAsia="宋体"/>
                <w:color w:val="000000" w:themeColor="text1"/>
                <w:kern w:val="2"/>
                <w:sz w:val="24"/>
                <w:szCs w:val="22"/>
                <w14:textFill>
                  <w14:solidFill>
                    <w14:schemeClr w14:val="tx1"/>
                  </w14:solidFill>
                </w14:textFill>
              </w:rPr>
            </w:pPr>
          </w:p>
          <w:p>
            <w:pPr>
              <w:ind w:firstLine="6120" w:firstLineChars="2550"/>
              <w:jc w:val="left"/>
              <w:rPr>
                <w:rFonts w:ascii="宋体" w:hAnsi="宋体" w:eastAsia="宋体"/>
                <w:color w:val="000000" w:themeColor="text1"/>
                <w:kern w:val="2"/>
                <w:sz w:val="24"/>
                <w:szCs w:val="22"/>
                <w14:textFill>
                  <w14:solidFill>
                    <w14:schemeClr w14:val="tx1"/>
                  </w14:solidFill>
                </w14:textFill>
              </w:rPr>
            </w:pPr>
            <w:r>
              <w:rPr>
                <w:rFonts w:hint="eastAsia" w:ascii="宋体" w:hAnsi="宋体" w:eastAsia="宋体"/>
                <w:color w:val="000000" w:themeColor="text1"/>
                <w:kern w:val="2"/>
                <w:sz w:val="24"/>
                <w:szCs w:val="22"/>
                <w14:textFill>
                  <w14:solidFill>
                    <w14:schemeClr w14:val="tx1"/>
                  </w14:solidFill>
                </w14:textFill>
              </w:rPr>
              <w:t>承诺人：</w:t>
            </w:r>
          </w:p>
          <w:p>
            <w:pPr>
              <w:ind w:firstLine="6720" w:firstLineChars="2800"/>
              <w:jc w:val="left"/>
              <w:rPr>
                <w:rFonts w:ascii="宋体" w:hAnsi="宋体" w:eastAsia="宋体"/>
                <w:color w:val="000000" w:themeColor="text1"/>
                <w:kern w:val="2"/>
                <w:sz w:val="24"/>
                <w:szCs w:val="22"/>
                <w14:textFill>
                  <w14:solidFill>
                    <w14:schemeClr w14:val="tx1"/>
                  </w14:solidFill>
                </w14:textFill>
              </w:rPr>
            </w:pPr>
            <w:r>
              <w:rPr>
                <w:rFonts w:hint="eastAsia" w:ascii="宋体" w:hAnsi="宋体" w:eastAsia="宋体"/>
                <w:color w:val="000000" w:themeColor="text1"/>
                <w:kern w:val="2"/>
                <w:sz w:val="24"/>
                <w:szCs w:val="22"/>
                <w14:textFill>
                  <w14:solidFill>
                    <w14:schemeClr w14:val="tx1"/>
                  </w14:solidFill>
                </w14:textFill>
              </w:rPr>
              <w:t>年   月   日</w:t>
            </w:r>
          </w:p>
        </w:tc>
      </w:tr>
    </w:tbl>
    <w:p>
      <w:pPr>
        <w:widowControl w:val="0"/>
        <w:spacing w:after="120" w:afterLines="50" w:line="560" w:lineRule="exact"/>
        <w:ind w:firstLine="640" w:firstLineChars="200"/>
        <w:textAlignment w:val="auto"/>
        <w:rPr>
          <w:rFonts w:ascii="仿宋_GB2312"/>
          <w:szCs w:val="32"/>
        </w:rPr>
      </w:pPr>
    </w:p>
    <w:p>
      <w:pPr>
        <w:widowControl w:val="0"/>
        <w:spacing w:after="120" w:afterLines="50" w:line="560" w:lineRule="exact"/>
        <w:ind w:firstLine="640" w:firstLineChars="200"/>
        <w:textAlignment w:val="auto"/>
        <w:rPr>
          <w:rFonts w:ascii="仿宋_GB2312"/>
          <w:szCs w:val="32"/>
        </w:rPr>
      </w:pPr>
    </w:p>
    <w:p>
      <w:pPr>
        <w:widowControl w:val="0"/>
        <w:spacing w:after="120" w:afterLines="50" w:line="560" w:lineRule="exact"/>
        <w:ind w:firstLine="640" w:firstLineChars="200"/>
        <w:textAlignment w:val="auto"/>
        <w:rPr>
          <w:rFonts w:ascii="仿宋_GB2312"/>
          <w:szCs w:val="32"/>
        </w:rPr>
      </w:pPr>
    </w:p>
    <w:p>
      <w:pPr>
        <w:widowControl w:val="0"/>
        <w:spacing w:after="120" w:afterLines="50" w:line="560" w:lineRule="exact"/>
        <w:ind w:firstLine="640" w:firstLineChars="200"/>
        <w:textAlignment w:val="auto"/>
        <w:rPr>
          <w:rFonts w:ascii="仿宋_GB2312"/>
          <w:szCs w:val="32"/>
        </w:rPr>
      </w:pPr>
    </w:p>
    <w:p>
      <w:pPr>
        <w:widowControl w:val="0"/>
        <w:spacing w:after="120" w:afterLines="50" w:line="560" w:lineRule="exact"/>
        <w:ind w:firstLine="640" w:firstLineChars="200"/>
        <w:textAlignment w:val="auto"/>
        <w:rPr>
          <w:rFonts w:ascii="仿宋_GB2312"/>
          <w:szCs w:val="32"/>
        </w:rPr>
      </w:pPr>
    </w:p>
    <w:p>
      <w:pPr>
        <w:widowControl w:val="0"/>
        <w:spacing w:after="120" w:afterLines="50" w:line="560" w:lineRule="exact"/>
        <w:ind w:firstLine="640" w:firstLineChars="200"/>
        <w:textAlignment w:val="auto"/>
        <w:rPr>
          <w:rFonts w:ascii="仿宋_GB2312"/>
          <w:szCs w:val="32"/>
        </w:rPr>
      </w:pPr>
    </w:p>
    <w:p>
      <w:pPr>
        <w:widowControl w:val="0"/>
        <w:spacing w:after="120" w:afterLines="50" w:line="560" w:lineRule="exact"/>
        <w:ind w:firstLine="640" w:firstLineChars="200"/>
        <w:textAlignment w:val="auto"/>
        <w:rPr>
          <w:rFonts w:ascii="仿宋_GB2312"/>
          <w:szCs w:val="32"/>
        </w:rPr>
      </w:pPr>
    </w:p>
    <w:p>
      <w:pPr>
        <w:widowControl w:val="0"/>
        <w:spacing w:after="120" w:afterLines="50" w:line="560" w:lineRule="exact"/>
        <w:ind w:firstLine="640" w:firstLineChars="200"/>
        <w:textAlignment w:val="auto"/>
        <w:rPr>
          <w:rFonts w:ascii="仿宋_GB2312"/>
          <w:szCs w:val="32"/>
        </w:rPr>
      </w:pPr>
    </w:p>
    <w:p>
      <w:pPr>
        <w:widowControl w:val="0"/>
        <w:spacing w:after="120" w:afterLines="50" w:line="560" w:lineRule="exact"/>
        <w:ind w:firstLine="640" w:firstLineChars="200"/>
        <w:textAlignment w:val="auto"/>
        <w:rPr>
          <w:rFonts w:ascii="仿宋_GB2312"/>
          <w:szCs w:val="32"/>
        </w:rPr>
      </w:pPr>
    </w:p>
    <w:tbl>
      <w:tblPr>
        <w:tblStyle w:val="9"/>
        <w:tblpPr w:leftFromText="180" w:rightFromText="180" w:vertAnchor="text" w:horzAnchor="page" w:tblpX="1715" w:tblpY="4027"/>
        <w:tblOverlap w:val="never"/>
        <w:tblW w:w="9011"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01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9011" w:type="dxa"/>
            <w:vAlign w:val="center"/>
          </w:tcPr>
          <w:p>
            <w:pPr>
              <w:widowControl w:val="0"/>
              <w:snapToGrid w:val="0"/>
              <w:spacing w:line="460" w:lineRule="exact"/>
              <w:ind w:left="804" w:leftChars="50" w:hanging="644" w:hangingChars="230"/>
              <w:rPr>
                <w:rFonts w:ascii="仿宋_GB2312" w:hAnsi="仿宋_GB2312" w:cs="仿宋_GB2312"/>
                <w:color w:val="auto"/>
                <w:sz w:val="28"/>
                <w:szCs w:val="28"/>
              </w:rPr>
            </w:pPr>
            <w:r>
              <w:rPr>
                <w:rFonts w:hint="eastAsia" w:ascii="仿宋_GB2312" w:hAnsi="仿宋_GB2312" w:cs="仿宋_GB2312"/>
                <w:color w:val="auto"/>
                <w:sz w:val="28"/>
                <w:szCs w:val="28"/>
              </w:rPr>
              <w:t>抄报：</w:t>
            </w:r>
            <w:r>
              <w:rPr>
                <w:rFonts w:hint="eastAsia" w:ascii="仿宋_GB2312" w:hAnsi="仿宋_GB2312" w:cs="仿宋_GB2312"/>
                <w:color w:val="auto"/>
                <w:spacing w:val="-8"/>
                <w:sz w:val="28"/>
                <w:szCs w:val="28"/>
              </w:rPr>
              <w:t>中华全国律师协会，省民政厅社管局，省司法厅</w:t>
            </w:r>
          </w:p>
          <w:p>
            <w:pPr>
              <w:widowControl w:val="0"/>
              <w:snapToGrid w:val="0"/>
              <w:spacing w:line="460" w:lineRule="exact"/>
              <w:ind w:left="981" w:leftChars="44" w:hanging="840" w:hangingChars="300"/>
              <w:rPr>
                <w:rFonts w:ascii="仿宋_GB2312" w:hAnsi="仿宋_GB2312" w:cs="仿宋_GB2312"/>
                <w:color w:val="auto"/>
                <w:spacing w:val="-6"/>
                <w:sz w:val="28"/>
                <w:szCs w:val="28"/>
              </w:rPr>
            </w:pPr>
            <w:r>
              <w:rPr>
                <w:rFonts w:hint="eastAsia" w:ascii="仿宋_GB2312" w:hAnsi="仿宋_GB2312" w:cs="仿宋_GB2312"/>
                <w:color w:val="auto"/>
                <w:sz w:val="28"/>
                <w:szCs w:val="28"/>
              </w:rPr>
              <w:t>抄送：</w:t>
            </w:r>
            <w:r>
              <w:rPr>
                <w:rFonts w:hint="eastAsia" w:ascii="仿宋_GB2312" w:hAnsi="仿宋_GB2312" w:cs="仿宋_GB2312"/>
                <w:color w:val="auto"/>
                <w:spacing w:val="-6"/>
                <w:sz w:val="28"/>
                <w:szCs w:val="28"/>
              </w:rPr>
              <w:t>顾问、</w:t>
            </w:r>
            <w:r>
              <w:rPr>
                <w:rFonts w:hint="eastAsia" w:ascii="仿宋_GB2312" w:hAnsi="仿宋_GB2312" w:cs="仿宋_GB2312"/>
                <w:color w:val="auto"/>
                <w:spacing w:val="-12"/>
                <w:sz w:val="28"/>
                <w:szCs w:val="28"/>
              </w:rPr>
              <w:t>理事、监事</w:t>
            </w:r>
          </w:p>
          <w:p>
            <w:pPr>
              <w:widowControl w:val="0"/>
              <w:snapToGrid w:val="0"/>
              <w:spacing w:line="460" w:lineRule="exact"/>
              <w:ind w:left="784" w:hanging="784" w:hangingChars="280"/>
              <w:rPr>
                <w:rFonts w:ascii="仿宋_GB2312" w:hAnsi="仿宋_GB2312" w:cs="仿宋_GB2312"/>
                <w:color w:val="auto"/>
                <w:sz w:val="28"/>
                <w:szCs w:val="28"/>
              </w:rPr>
            </w:pPr>
            <w:r>
              <w:rPr>
                <w:rFonts w:hint="eastAsia" w:ascii="仿宋_GB2312" w:hAnsi="仿宋_GB2312" w:cs="仿宋_GB2312"/>
                <w:color w:val="auto"/>
                <w:sz w:val="28"/>
                <w:szCs w:val="28"/>
              </w:rPr>
              <w:t xml:space="preserve"> 发：省律协各部（室）</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7" w:hRule="exact"/>
        </w:trPr>
        <w:tc>
          <w:tcPr>
            <w:tcW w:w="9011" w:type="dxa"/>
            <w:vAlign w:val="center"/>
          </w:tcPr>
          <w:p>
            <w:pPr>
              <w:widowControl w:val="0"/>
              <w:snapToGrid w:val="0"/>
              <w:spacing w:line="460" w:lineRule="exact"/>
              <w:rPr>
                <w:rFonts w:ascii="仿宋_GB2312" w:hAnsi="仿宋_GB2312" w:cs="仿宋_GB2312"/>
                <w:color w:val="auto"/>
                <w:sz w:val="28"/>
                <w:szCs w:val="28"/>
              </w:rPr>
            </w:pPr>
            <w:r>
              <w:rPr>
                <w:rFonts w:hint="eastAsia" w:ascii="仿宋_GB2312" w:hAnsi="仿宋_GB2312" w:cs="仿宋_GB2312"/>
                <w:color w:val="auto"/>
                <w:sz w:val="28"/>
                <w:szCs w:val="28"/>
              </w:rPr>
              <w:t xml:space="preserve"> 浙江省律师协会办公室                      2020年9月29日</w:t>
            </w:r>
            <w:r>
              <w:rPr>
                <w:rFonts w:hint="eastAsia" w:ascii="仿宋_GB2312" w:hAnsi="仿宋_GB2312" w:cs="仿宋_GB2312"/>
                <w:color w:val="auto"/>
                <w:sz w:val="28"/>
                <w:szCs w:val="28"/>
              </w:rPr>
              <w:fldChar w:fldCharType="begin">
                <w:ffData>
                  <w:name w:val="印发日期"/>
                  <w:enabled/>
                  <w:calcOnExit w:val="0"/>
                  <w:textInput/>
                </w:ffData>
              </w:fldChar>
            </w:r>
            <w:r>
              <w:rPr>
                <w:rFonts w:hint="eastAsia" w:ascii="仿宋_GB2312" w:hAnsi="仿宋_GB2312" w:cs="仿宋_GB2312"/>
                <w:color w:val="auto"/>
                <w:sz w:val="28"/>
                <w:szCs w:val="28"/>
              </w:rPr>
              <w:instrText xml:space="preserve"> FORMTEXT </w:instrText>
            </w:r>
            <w:r>
              <w:rPr>
                <w:rFonts w:hint="eastAsia" w:ascii="仿宋_GB2312" w:hAnsi="仿宋_GB2312" w:cs="仿宋_GB2312"/>
                <w:color w:val="auto"/>
                <w:sz w:val="28"/>
                <w:szCs w:val="28"/>
              </w:rPr>
              <w:fldChar w:fldCharType="separate"/>
            </w:r>
            <w:r>
              <w:rPr>
                <w:rFonts w:hint="eastAsia" w:ascii="仿宋_GB2312" w:hAnsi="仿宋_GB2312" w:cs="仿宋_GB2312"/>
                <w:color w:val="auto"/>
                <w:sz w:val="28"/>
                <w:szCs w:val="28"/>
              </w:rPr>
              <w:fldChar w:fldCharType="end"/>
            </w:r>
            <w:r>
              <w:rPr>
                <w:rFonts w:hint="eastAsia" w:ascii="仿宋_GB2312" w:hAnsi="仿宋_GB2312" w:cs="仿宋_GB2312"/>
                <w:color w:val="auto"/>
                <w:sz w:val="28"/>
                <w:szCs w:val="28"/>
              </w:rPr>
              <w:t>印发</w:t>
            </w:r>
          </w:p>
        </w:tc>
      </w:tr>
    </w:tbl>
    <w:p>
      <w:pPr>
        <w:widowControl w:val="0"/>
        <w:spacing w:after="120" w:afterLines="50" w:line="560" w:lineRule="exact"/>
        <w:ind w:firstLine="640" w:firstLineChars="200"/>
        <w:textAlignment w:val="auto"/>
        <w:rPr>
          <w:rFonts w:ascii="仿宋_GB2312"/>
          <w:szCs w:val="32"/>
        </w:rPr>
      </w:pPr>
    </w:p>
    <w:p>
      <w:pPr>
        <w:spacing w:after="360" w:afterLines="150"/>
      </w:pPr>
    </w:p>
    <w:p>
      <w:pPr>
        <w:keepNext w:val="0"/>
        <w:keepLines w:val="0"/>
        <w:pageBreakBefore w:val="0"/>
        <w:widowControl/>
        <w:kinsoku/>
        <w:wordWrap/>
        <w:overflowPunct/>
        <w:topLinePunct w:val="0"/>
        <w:autoSpaceDE/>
        <w:autoSpaceDN/>
        <w:bidi w:val="0"/>
        <w:adjustRightInd/>
        <w:snapToGrid/>
        <w:spacing w:after="621" w:afterLines="100"/>
        <w:textAlignment w:val="baseline"/>
      </w:pPr>
      <w:bookmarkStart w:id="2" w:name="_GoBack"/>
      <w:bookmarkEnd w:id="2"/>
    </w:p>
    <w:sectPr>
      <w:footerReference r:id="rId3" w:type="default"/>
      <w:footerReference r:id="rId4" w:type="even"/>
      <w:pgSz w:w="11905" w:h="16837"/>
      <w:pgMar w:top="2098" w:right="1803" w:bottom="1985" w:left="1803" w:header="567" w:footer="1134" w:gutter="0"/>
      <w:pgNumType w:fmt="numberInDash"/>
      <w:cols w:space="720" w:num="1"/>
      <w:docGrid w:linePitch="618" w:charSpace="-20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djustRightInd w:val="0"/>
      <w:snapToGrid w:val="0"/>
      <w:spacing w:after="200" w:line="240" w:lineRule="auto"/>
      <w:jc w:val="right"/>
      <w:textAlignment w:val="auto"/>
      <w:rPr>
        <w:rFonts w:ascii="仿宋_GB2312"/>
        <w:color w:val="auto"/>
        <w:sz w:val="28"/>
        <w:szCs w:val="28"/>
      </w:rPr>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3 -</w:t>
    </w:r>
    <w:r>
      <w:rPr>
        <w:rFonts w:ascii="仿宋_GB2312"/>
        <w:color w:val="auto"/>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adjustRightInd w:val="0"/>
      <w:snapToGrid w:val="0"/>
      <w:spacing w:after="200" w:line="240" w:lineRule="auto"/>
      <w:jc w:val="left"/>
      <w:textAlignment w:val="auto"/>
      <w:rPr>
        <w:rFonts w:ascii="仿宋_GB2312"/>
        <w:color w:val="auto"/>
        <w:sz w:val="28"/>
        <w:szCs w:val="28"/>
      </w:rPr>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2 -</w:t>
    </w:r>
    <w:r>
      <w:rPr>
        <w:rFonts w:ascii="仿宋_GB2312"/>
        <w:color w:val="auto"/>
        <w:sz w:val="28"/>
        <w:szCs w:val="28"/>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evenAndOddHeaders w:val="1"/>
  <w:drawingGridHorizontalSpacing w:val="155"/>
  <w:drawingGridVerticalSpacing w:val="30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CF1AD4"/>
    <w:rsid w:val="00005347"/>
    <w:rsid w:val="00006505"/>
    <w:rsid w:val="00025CED"/>
    <w:rsid w:val="00030574"/>
    <w:rsid w:val="00047005"/>
    <w:rsid w:val="00055569"/>
    <w:rsid w:val="00055F33"/>
    <w:rsid w:val="000567E6"/>
    <w:rsid w:val="00056C85"/>
    <w:rsid w:val="0007301A"/>
    <w:rsid w:val="00094D57"/>
    <w:rsid w:val="000A51AB"/>
    <w:rsid w:val="000A7B83"/>
    <w:rsid w:val="000B5BF0"/>
    <w:rsid w:val="000F1F28"/>
    <w:rsid w:val="000F396B"/>
    <w:rsid w:val="000F447C"/>
    <w:rsid w:val="00114271"/>
    <w:rsid w:val="001230FC"/>
    <w:rsid w:val="00126574"/>
    <w:rsid w:val="001314DF"/>
    <w:rsid w:val="00153527"/>
    <w:rsid w:val="0015616E"/>
    <w:rsid w:val="00160635"/>
    <w:rsid w:val="001654FD"/>
    <w:rsid w:val="00190BA0"/>
    <w:rsid w:val="00197103"/>
    <w:rsid w:val="001B5329"/>
    <w:rsid w:val="001D370C"/>
    <w:rsid w:val="001D4763"/>
    <w:rsid w:val="001D516A"/>
    <w:rsid w:val="001D5F74"/>
    <w:rsid w:val="001E1E0F"/>
    <w:rsid w:val="001E6269"/>
    <w:rsid w:val="001F5747"/>
    <w:rsid w:val="001F7BEA"/>
    <w:rsid w:val="002122DA"/>
    <w:rsid w:val="0022683E"/>
    <w:rsid w:val="00231199"/>
    <w:rsid w:val="00232B33"/>
    <w:rsid w:val="0023566F"/>
    <w:rsid w:val="00241BF5"/>
    <w:rsid w:val="00245490"/>
    <w:rsid w:val="00256FB4"/>
    <w:rsid w:val="0026148A"/>
    <w:rsid w:val="00265A72"/>
    <w:rsid w:val="00266310"/>
    <w:rsid w:val="00273BED"/>
    <w:rsid w:val="00274184"/>
    <w:rsid w:val="00274986"/>
    <w:rsid w:val="00285128"/>
    <w:rsid w:val="002868F5"/>
    <w:rsid w:val="00290CFB"/>
    <w:rsid w:val="00293886"/>
    <w:rsid w:val="00293E5C"/>
    <w:rsid w:val="002B22F1"/>
    <w:rsid w:val="002B7076"/>
    <w:rsid w:val="002C325B"/>
    <w:rsid w:val="002D368D"/>
    <w:rsid w:val="003060D6"/>
    <w:rsid w:val="00320747"/>
    <w:rsid w:val="00320D34"/>
    <w:rsid w:val="00321A92"/>
    <w:rsid w:val="003247C1"/>
    <w:rsid w:val="00345253"/>
    <w:rsid w:val="0034708B"/>
    <w:rsid w:val="00351A9F"/>
    <w:rsid w:val="0036512E"/>
    <w:rsid w:val="00376598"/>
    <w:rsid w:val="003841D4"/>
    <w:rsid w:val="00385FDB"/>
    <w:rsid w:val="003C116A"/>
    <w:rsid w:val="003C53C8"/>
    <w:rsid w:val="003C69F2"/>
    <w:rsid w:val="0040230C"/>
    <w:rsid w:val="0040310E"/>
    <w:rsid w:val="00407181"/>
    <w:rsid w:val="00412049"/>
    <w:rsid w:val="00413E82"/>
    <w:rsid w:val="00416938"/>
    <w:rsid w:val="0042779E"/>
    <w:rsid w:val="00432AE7"/>
    <w:rsid w:val="00446935"/>
    <w:rsid w:val="00447D80"/>
    <w:rsid w:val="004548CA"/>
    <w:rsid w:val="0045492C"/>
    <w:rsid w:val="004616F1"/>
    <w:rsid w:val="00465F63"/>
    <w:rsid w:val="00480CE3"/>
    <w:rsid w:val="00483C37"/>
    <w:rsid w:val="004C5899"/>
    <w:rsid w:val="004D31EC"/>
    <w:rsid w:val="004D6F99"/>
    <w:rsid w:val="004E21D9"/>
    <w:rsid w:val="004E358D"/>
    <w:rsid w:val="004E4161"/>
    <w:rsid w:val="004E52B1"/>
    <w:rsid w:val="00502BCC"/>
    <w:rsid w:val="00504256"/>
    <w:rsid w:val="00504A18"/>
    <w:rsid w:val="00506AB2"/>
    <w:rsid w:val="005206E8"/>
    <w:rsid w:val="005403AD"/>
    <w:rsid w:val="00541B16"/>
    <w:rsid w:val="00544BDE"/>
    <w:rsid w:val="00547197"/>
    <w:rsid w:val="00550E19"/>
    <w:rsid w:val="0055727C"/>
    <w:rsid w:val="0057697C"/>
    <w:rsid w:val="005822E5"/>
    <w:rsid w:val="00585D70"/>
    <w:rsid w:val="0058654A"/>
    <w:rsid w:val="005901D3"/>
    <w:rsid w:val="00597B71"/>
    <w:rsid w:val="005B41A9"/>
    <w:rsid w:val="005C48D9"/>
    <w:rsid w:val="005D158C"/>
    <w:rsid w:val="005E30A1"/>
    <w:rsid w:val="005E37D7"/>
    <w:rsid w:val="005E6CE0"/>
    <w:rsid w:val="005F246C"/>
    <w:rsid w:val="005F6765"/>
    <w:rsid w:val="005F6D08"/>
    <w:rsid w:val="005F736D"/>
    <w:rsid w:val="0062215A"/>
    <w:rsid w:val="0062628D"/>
    <w:rsid w:val="00664B8B"/>
    <w:rsid w:val="006709F7"/>
    <w:rsid w:val="00672969"/>
    <w:rsid w:val="0067766A"/>
    <w:rsid w:val="00691CF8"/>
    <w:rsid w:val="00697A85"/>
    <w:rsid w:val="006A34B3"/>
    <w:rsid w:val="006B29A6"/>
    <w:rsid w:val="006B427F"/>
    <w:rsid w:val="006B50EB"/>
    <w:rsid w:val="006C16C4"/>
    <w:rsid w:val="006C588B"/>
    <w:rsid w:val="006C5CB0"/>
    <w:rsid w:val="006D478F"/>
    <w:rsid w:val="006D4F2A"/>
    <w:rsid w:val="006E1907"/>
    <w:rsid w:val="006E3E94"/>
    <w:rsid w:val="006E5DF3"/>
    <w:rsid w:val="006F5EB6"/>
    <w:rsid w:val="00700400"/>
    <w:rsid w:val="0070558B"/>
    <w:rsid w:val="00713270"/>
    <w:rsid w:val="00715394"/>
    <w:rsid w:val="00723358"/>
    <w:rsid w:val="00731991"/>
    <w:rsid w:val="007337CA"/>
    <w:rsid w:val="00733A80"/>
    <w:rsid w:val="007604E9"/>
    <w:rsid w:val="007623ED"/>
    <w:rsid w:val="00786D94"/>
    <w:rsid w:val="00792B1B"/>
    <w:rsid w:val="007954DA"/>
    <w:rsid w:val="00797A5A"/>
    <w:rsid w:val="007A49F0"/>
    <w:rsid w:val="007B2895"/>
    <w:rsid w:val="007D30F9"/>
    <w:rsid w:val="007D702B"/>
    <w:rsid w:val="007E2AA5"/>
    <w:rsid w:val="00813296"/>
    <w:rsid w:val="008145BF"/>
    <w:rsid w:val="008153F3"/>
    <w:rsid w:val="0083797A"/>
    <w:rsid w:val="00840E4E"/>
    <w:rsid w:val="008520F5"/>
    <w:rsid w:val="00857CF7"/>
    <w:rsid w:val="00866FA7"/>
    <w:rsid w:val="00886FAF"/>
    <w:rsid w:val="00897EAE"/>
    <w:rsid w:val="008A2A29"/>
    <w:rsid w:val="008B67BB"/>
    <w:rsid w:val="008F28FB"/>
    <w:rsid w:val="009006FB"/>
    <w:rsid w:val="0090564C"/>
    <w:rsid w:val="00906236"/>
    <w:rsid w:val="00906FE2"/>
    <w:rsid w:val="0093300A"/>
    <w:rsid w:val="00935365"/>
    <w:rsid w:val="00947932"/>
    <w:rsid w:val="00962D3B"/>
    <w:rsid w:val="009673E4"/>
    <w:rsid w:val="00967452"/>
    <w:rsid w:val="009803D5"/>
    <w:rsid w:val="00991A7B"/>
    <w:rsid w:val="0099293F"/>
    <w:rsid w:val="009C7BBB"/>
    <w:rsid w:val="009D3745"/>
    <w:rsid w:val="009F327C"/>
    <w:rsid w:val="009F505B"/>
    <w:rsid w:val="009F649D"/>
    <w:rsid w:val="009F6617"/>
    <w:rsid w:val="00A05383"/>
    <w:rsid w:val="00A14C6E"/>
    <w:rsid w:val="00A16DBF"/>
    <w:rsid w:val="00A335BF"/>
    <w:rsid w:val="00A44B44"/>
    <w:rsid w:val="00A50CE3"/>
    <w:rsid w:val="00A6418A"/>
    <w:rsid w:val="00A739B6"/>
    <w:rsid w:val="00A73E49"/>
    <w:rsid w:val="00A7622A"/>
    <w:rsid w:val="00A93657"/>
    <w:rsid w:val="00AA1A53"/>
    <w:rsid w:val="00AA1CED"/>
    <w:rsid w:val="00AA5DB7"/>
    <w:rsid w:val="00AA77A8"/>
    <w:rsid w:val="00AB0E73"/>
    <w:rsid w:val="00AB31F6"/>
    <w:rsid w:val="00AD310F"/>
    <w:rsid w:val="00AD5AF9"/>
    <w:rsid w:val="00AE2EBC"/>
    <w:rsid w:val="00AE377D"/>
    <w:rsid w:val="00AF55F8"/>
    <w:rsid w:val="00B02158"/>
    <w:rsid w:val="00B12259"/>
    <w:rsid w:val="00B21617"/>
    <w:rsid w:val="00B2585B"/>
    <w:rsid w:val="00B36B92"/>
    <w:rsid w:val="00B569C2"/>
    <w:rsid w:val="00B71ECF"/>
    <w:rsid w:val="00B746A7"/>
    <w:rsid w:val="00B97036"/>
    <w:rsid w:val="00BC2044"/>
    <w:rsid w:val="00BC584F"/>
    <w:rsid w:val="00BD2FBB"/>
    <w:rsid w:val="00BF6F03"/>
    <w:rsid w:val="00C05DF8"/>
    <w:rsid w:val="00C060B1"/>
    <w:rsid w:val="00C37EEC"/>
    <w:rsid w:val="00C519FD"/>
    <w:rsid w:val="00C533C8"/>
    <w:rsid w:val="00C53490"/>
    <w:rsid w:val="00C64BE4"/>
    <w:rsid w:val="00C816D4"/>
    <w:rsid w:val="00C8171D"/>
    <w:rsid w:val="00C92D61"/>
    <w:rsid w:val="00C93CD5"/>
    <w:rsid w:val="00CB4417"/>
    <w:rsid w:val="00CC005F"/>
    <w:rsid w:val="00CC4F61"/>
    <w:rsid w:val="00CD29F8"/>
    <w:rsid w:val="00CE34A3"/>
    <w:rsid w:val="00CF57C4"/>
    <w:rsid w:val="00D0505B"/>
    <w:rsid w:val="00D13643"/>
    <w:rsid w:val="00D15E16"/>
    <w:rsid w:val="00D22D71"/>
    <w:rsid w:val="00D2433B"/>
    <w:rsid w:val="00D24F3F"/>
    <w:rsid w:val="00D42670"/>
    <w:rsid w:val="00D4597E"/>
    <w:rsid w:val="00D55874"/>
    <w:rsid w:val="00D56353"/>
    <w:rsid w:val="00D64A0C"/>
    <w:rsid w:val="00D67F57"/>
    <w:rsid w:val="00D828CC"/>
    <w:rsid w:val="00DA2D76"/>
    <w:rsid w:val="00DA3D10"/>
    <w:rsid w:val="00DA3E42"/>
    <w:rsid w:val="00DA64CA"/>
    <w:rsid w:val="00DB2114"/>
    <w:rsid w:val="00DB6209"/>
    <w:rsid w:val="00DB72C9"/>
    <w:rsid w:val="00DC0BBE"/>
    <w:rsid w:val="00DD02BC"/>
    <w:rsid w:val="00DE2C2A"/>
    <w:rsid w:val="00E011C5"/>
    <w:rsid w:val="00E01609"/>
    <w:rsid w:val="00E05CC9"/>
    <w:rsid w:val="00E065BB"/>
    <w:rsid w:val="00E07B5D"/>
    <w:rsid w:val="00E11570"/>
    <w:rsid w:val="00E22F8D"/>
    <w:rsid w:val="00E264C7"/>
    <w:rsid w:val="00E3357B"/>
    <w:rsid w:val="00E3482D"/>
    <w:rsid w:val="00E41E26"/>
    <w:rsid w:val="00E42FA4"/>
    <w:rsid w:val="00E437DD"/>
    <w:rsid w:val="00E5221B"/>
    <w:rsid w:val="00E564D0"/>
    <w:rsid w:val="00E73B7C"/>
    <w:rsid w:val="00E73E40"/>
    <w:rsid w:val="00E7457C"/>
    <w:rsid w:val="00E76B3A"/>
    <w:rsid w:val="00E77E64"/>
    <w:rsid w:val="00E95F14"/>
    <w:rsid w:val="00E96805"/>
    <w:rsid w:val="00EA0E2C"/>
    <w:rsid w:val="00EA26BA"/>
    <w:rsid w:val="00EA3B50"/>
    <w:rsid w:val="00EB4484"/>
    <w:rsid w:val="00EB4623"/>
    <w:rsid w:val="00EC5B92"/>
    <w:rsid w:val="00ED145D"/>
    <w:rsid w:val="00ED3ECB"/>
    <w:rsid w:val="00ED6B1A"/>
    <w:rsid w:val="00EF30C4"/>
    <w:rsid w:val="00EF6776"/>
    <w:rsid w:val="00F0317F"/>
    <w:rsid w:val="00F10D1B"/>
    <w:rsid w:val="00F133DF"/>
    <w:rsid w:val="00F16FD9"/>
    <w:rsid w:val="00F31AFB"/>
    <w:rsid w:val="00F40CDB"/>
    <w:rsid w:val="00F4700A"/>
    <w:rsid w:val="00F472EF"/>
    <w:rsid w:val="00F56B72"/>
    <w:rsid w:val="00F57C2F"/>
    <w:rsid w:val="00F602D1"/>
    <w:rsid w:val="00F745B6"/>
    <w:rsid w:val="00F87B8E"/>
    <w:rsid w:val="00F93F95"/>
    <w:rsid w:val="00FA69C7"/>
    <w:rsid w:val="00FD5AE1"/>
    <w:rsid w:val="00FE0EF7"/>
    <w:rsid w:val="00FE4FE0"/>
    <w:rsid w:val="00FE5109"/>
    <w:rsid w:val="02234BBB"/>
    <w:rsid w:val="03D16F2E"/>
    <w:rsid w:val="06504D07"/>
    <w:rsid w:val="07641007"/>
    <w:rsid w:val="0EB2396F"/>
    <w:rsid w:val="15157390"/>
    <w:rsid w:val="1E0539D6"/>
    <w:rsid w:val="27696756"/>
    <w:rsid w:val="29812E27"/>
    <w:rsid w:val="2D411B5C"/>
    <w:rsid w:val="2F31050A"/>
    <w:rsid w:val="30324927"/>
    <w:rsid w:val="31670F96"/>
    <w:rsid w:val="31AD3D05"/>
    <w:rsid w:val="39167FFD"/>
    <w:rsid w:val="3AE07E35"/>
    <w:rsid w:val="445B19BD"/>
    <w:rsid w:val="458B01B0"/>
    <w:rsid w:val="4ABE4C55"/>
    <w:rsid w:val="4DF0302D"/>
    <w:rsid w:val="4E4F56D1"/>
    <w:rsid w:val="4ED94C12"/>
    <w:rsid w:val="543734E0"/>
    <w:rsid w:val="566364ED"/>
    <w:rsid w:val="58AB399F"/>
    <w:rsid w:val="5AA25916"/>
    <w:rsid w:val="5B620A5D"/>
    <w:rsid w:val="5E26182A"/>
    <w:rsid w:val="5ECF1AD4"/>
    <w:rsid w:val="61744E64"/>
    <w:rsid w:val="64DC5B41"/>
    <w:rsid w:val="674C0B08"/>
    <w:rsid w:val="67E44F46"/>
    <w:rsid w:val="68392EE1"/>
    <w:rsid w:val="71D574ED"/>
    <w:rsid w:val="73685CDC"/>
    <w:rsid w:val="74BC7B84"/>
    <w:rsid w:val="75492FFC"/>
    <w:rsid w:val="7840433D"/>
    <w:rsid w:val="7C200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38" w:lineRule="atLeast"/>
      <w:jc w:val="both"/>
      <w:textAlignment w:val="baseline"/>
    </w:pPr>
    <w:rPr>
      <w:rFonts w:ascii="Times New Roman" w:hAnsi="Times New Roman" w:eastAsia="仿宋_GB2312" w:cs="Times New Roman"/>
      <w:color w:val="000000"/>
      <w:sz w:val="32"/>
      <w:u w:color="000000"/>
      <w:lang w:val="en-US" w:eastAsia="zh-CN" w:bidi="ar-SA"/>
    </w:rPr>
  </w:style>
  <w:style w:type="paragraph" w:styleId="2">
    <w:name w:val="heading 1"/>
    <w:basedOn w:val="1"/>
    <w:next w:val="1"/>
    <w:link w:val="18"/>
    <w:qFormat/>
    <w:uiPriority w:val="9"/>
    <w:pPr>
      <w:keepNext/>
      <w:keepLines/>
      <w:widowControl w:val="0"/>
      <w:spacing w:before="300" w:after="300" w:line="700" w:lineRule="exact"/>
      <w:jc w:val="center"/>
      <w:textAlignment w:val="auto"/>
      <w:outlineLvl w:val="0"/>
    </w:pPr>
    <w:rPr>
      <w:rFonts w:ascii="Calibri" w:hAnsi="Calibri" w:eastAsia="方正小标宋简体"/>
      <w:b/>
      <w:bCs/>
      <w:color w:val="auto"/>
      <w:kern w:val="44"/>
      <w:sz w:val="44"/>
      <w:szCs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4"/>
    <w:unhideWhenUsed/>
    <w:qFormat/>
    <w:uiPriority w:val="99"/>
    <w:pPr>
      <w:widowControl w:val="0"/>
      <w:spacing w:line="240" w:lineRule="auto"/>
      <w:jc w:val="left"/>
      <w:textAlignment w:val="auto"/>
    </w:pPr>
    <w:rPr>
      <w:rFonts w:asciiTheme="minorHAnsi" w:hAnsiTheme="minorHAnsi" w:eastAsiaTheme="minorEastAsia" w:cstheme="minorBidi"/>
      <w:color w:val="auto"/>
      <w:kern w:val="2"/>
      <w:sz w:val="21"/>
      <w:szCs w:val="22"/>
    </w:rPr>
  </w:style>
  <w:style w:type="paragraph" w:styleId="4">
    <w:name w:val="Date"/>
    <w:basedOn w:val="1"/>
    <w:next w:val="1"/>
    <w:link w:val="16"/>
    <w:qFormat/>
    <w:uiPriority w:val="0"/>
    <w:pPr>
      <w:ind w:left="100" w:leftChars="2500"/>
    </w:pPr>
  </w:style>
  <w:style w:type="paragraph" w:styleId="5">
    <w:name w:val="Balloon Text"/>
    <w:basedOn w:val="1"/>
    <w:link w:val="15"/>
    <w:qFormat/>
    <w:uiPriority w:val="0"/>
    <w:pPr>
      <w:spacing w:line="240" w:lineRule="auto"/>
    </w:pPr>
    <w:rPr>
      <w:sz w:val="18"/>
      <w:szCs w:val="18"/>
    </w:rPr>
  </w:style>
  <w:style w:type="paragraph" w:styleId="6">
    <w:name w:val="footer"/>
    <w:basedOn w:val="1"/>
    <w:link w:val="14"/>
    <w:qFormat/>
    <w:uiPriority w:val="0"/>
    <w:pPr>
      <w:tabs>
        <w:tab w:val="center" w:pos="4153"/>
        <w:tab w:val="right" w:pos="8306"/>
      </w:tabs>
      <w:snapToGrid w:val="0"/>
      <w:spacing w:line="240" w:lineRule="atLeast"/>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8">
    <w:name w:val="Normal (Web)"/>
    <w:basedOn w:val="1"/>
    <w:qFormat/>
    <w:uiPriority w:val="99"/>
    <w:pPr>
      <w:jc w:val="left"/>
    </w:pPr>
    <w:rPr>
      <w:sz w:val="24"/>
    </w:rPr>
  </w:style>
  <w:style w:type="table" w:styleId="10">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2">
    <w:name w:val="Hyperlink"/>
    <w:basedOn w:val="11"/>
    <w:qFormat/>
    <w:uiPriority w:val="0"/>
    <w:rPr>
      <w:color w:val="000099"/>
      <w:u w:val="none"/>
    </w:rPr>
  </w:style>
  <w:style w:type="character" w:customStyle="1" w:styleId="13">
    <w:name w:val="页眉 Char"/>
    <w:basedOn w:val="11"/>
    <w:link w:val="7"/>
    <w:qFormat/>
    <w:uiPriority w:val="0"/>
    <w:rPr>
      <w:rFonts w:eastAsia="仿宋_GB2312"/>
      <w:color w:val="000000"/>
      <w:sz w:val="18"/>
      <w:szCs w:val="18"/>
      <w:u w:color="000000"/>
    </w:rPr>
  </w:style>
  <w:style w:type="character" w:customStyle="1" w:styleId="14">
    <w:name w:val="页脚 Char"/>
    <w:basedOn w:val="11"/>
    <w:link w:val="6"/>
    <w:qFormat/>
    <w:uiPriority w:val="0"/>
    <w:rPr>
      <w:rFonts w:eastAsia="仿宋_GB2312"/>
      <w:color w:val="000000"/>
      <w:sz w:val="18"/>
      <w:szCs w:val="18"/>
      <w:u w:color="000000"/>
    </w:rPr>
  </w:style>
  <w:style w:type="character" w:customStyle="1" w:styleId="15">
    <w:name w:val="批注框文本 Char"/>
    <w:basedOn w:val="11"/>
    <w:link w:val="5"/>
    <w:qFormat/>
    <w:uiPriority w:val="0"/>
    <w:rPr>
      <w:rFonts w:eastAsia="仿宋_GB2312"/>
      <w:color w:val="000000"/>
      <w:sz w:val="18"/>
      <w:szCs w:val="18"/>
      <w:u w:color="000000"/>
    </w:rPr>
  </w:style>
  <w:style w:type="character" w:customStyle="1" w:styleId="16">
    <w:name w:val="日期 Char"/>
    <w:basedOn w:val="11"/>
    <w:link w:val="4"/>
    <w:qFormat/>
    <w:uiPriority w:val="0"/>
    <w:rPr>
      <w:rFonts w:eastAsia="仿宋_GB2312"/>
      <w:color w:val="000000"/>
      <w:sz w:val="31"/>
      <w:u w:color="000000"/>
    </w:rPr>
  </w:style>
  <w:style w:type="paragraph" w:customStyle="1" w:styleId="17">
    <w:name w:val="列出段落1"/>
    <w:basedOn w:val="1"/>
    <w:unhideWhenUsed/>
    <w:qFormat/>
    <w:uiPriority w:val="99"/>
    <w:pPr>
      <w:widowControl w:val="0"/>
      <w:spacing w:line="240" w:lineRule="auto"/>
      <w:ind w:firstLine="420" w:firstLineChars="200"/>
      <w:textAlignment w:val="auto"/>
    </w:pPr>
    <w:rPr>
      <w:rFonts w:eastAsia="宋体"/>
      <w:color w:val="auto"/>
      <w:kern w:val="2"/>
      <w:sz w:val="21"/>
      <w:szCs w:val="24"/>
    </w:rPr>
  </w:style>
  <w:style w:type="character" w:customStyle="1" w:styleId="18">
    <w:name w:val="标题 1 Char"/>
    <w:basedOn w:val="11"/>
    <w:link w:val="2"/>
    <w:qFormat/>
    <w:uiPriority w:val="9"/>
    <w:rPr>
      <w:rFonts w:ascii="Calibri" w:hAnsi="Calibri" w:eastAsia="方正小标宋简体"/>
      <w:b/>
      <w:bCs/>
      <w:kern w:val="44"/>
      <w:sz w:val="44"/>
      <w:szCs w:val="44"/>
    </w:rPr>
  </w:style>
  <w:style w:type="table" w:customStyle="1" w:styleId="19">
    <w:name w:val="网格型1"/>
    <w:basedOn w:val="9"/>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0">
    <w:name w:val="Body text|1_"/>
    <w:basedOn w:val="11"/>
    <w:link w:val="21"/>
    <w:qFormat/>
    <w:uiPriority w:val="0"/>
    <w:rPr>
      <w:rFonts w:ascii="宋体" w:hAnsi="宋体" w:cs="宋体"/>
      <w:sz w:val="19"/>
      <w:szCs w:val="19"/>
      <w:lang w:val="zh-TW" w:eastAsia="zh-TW" w:bidi="zh-TW"/>
    </w:rPr>
  </w:style>
  <w:style w:type="paragraph" w:customStyle="1" w:styleId="21">
    <w:name w:val="Body text|1"/>
    <w:basedOn w:val="1"/>
    <w:link w:val="20"/>
    <w:qFormat/>
    <w:uiPriority w:val="0"/>
    <w:pPr>
      <w:widowControl w:val="0"/>
      <w:spacing w:line="413" w:lineRule="auto"/>
      <w:jc w:val="left"/>
      <w:textAlignment w:val="auto"/>
    </w:pPr>
    <w:rPr>
      <w:rFonts w:ascii="宋体" w:hAnsi="宋体" w:eastAsia="宋体" w:cs="宋体"/>
      <w:color w:val="auto"/>
      <w:sz w:val="19"/>
      <w:szCs w:val="19"/>
      <w:lang w:val="zh-TW" w:eastAsia="zh-TW" w:bidi="zh-TW"/>
    </w:rPr>
  </w:style>
  <w:style w:type="character" w:customStyle="1" w:styleId="22">
    <w:name w:val="font01"/>
    <w:basedOn w:val="11"/>
    <w:qFormat/>
    <w:uiPriority w:val="0"/>
    <w:rPr>
      <w:rFonts w:hint="eastAsia" w:ascii="宋体" w:hAnsi="宋体" w:eastAsia="宋体" w:cs="宋体"/>
      <w:color w:val="000000"/>
      <w:sz w:val="22"/>
      <w:szCs w:val="22"/>
      <w:u w:val="none"/>
    </w:rPr>
  </w:style>
  <w:style w:type="character" w:customStyle="1" w:styleId="23">
    <w:name w:val="font11"/>
    <w:basedOn w:val="11"/>
    <w:qFormat/>
    <w:uiPriority w:val="0"/>
    <w:rPr>
      <w:rFonts w:ascii="Calibri" w:hAnsi="Calibri" w:cs="Calibri"/>
      <w:color w:val="000000"/>
      <w:sz w:val="22"/>
      <w:szCs w:val="22"/>
      <w:u w:val="none"/>
    </w:rPr>
  </w:style>
  <w:style w:type="character" w:customStyle="1" w:styleId="24">
    <w:name w:val="批注文字 Char"/>
    <w:basedOn w:val="11"/>
    <w:link w:val="3"/>
    <w:qFormat/>
    <w:uiPriority w:val="99"/>
    <w:rPr>
      <w:rFonts w:asciiTheme="minorHAnsi" w:hAnsiTheme="minorHAnsi" w:eastAsiaTheme="minorEastAsia" w:cstheme="minorBidi"/>
      <w:kern w:val="2"/>
      <w:sz w:val="21"/>
      <w:szCs w:val="22"/>
      <w:u w:color="000000"/>
    </w:rPr>
  </w:style>
  <w:style w:type="paragraph" w:styleId="25">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C701CA-DB89-47B4-B58D-F473474F7FFE}">
  <ds:schemaRefs/>
</ds:datastoreItem>
</file>

<file path=docProps/app.xml><?xml version="1.0" encoding="utf-8"?>
<Properties xmlns="http://schemas.openxmlformats.org/officeDocument/2006/extended-properties" xmlns:vt="http://schemas.openxmlformats.org/officeDocument/2006/docPropsVTypes">
  <Template>Normal</Template>
  <Pages>4</Pages>
  <Words>180</Words>
  <Characters>1032</Characters>
  <Lines>8</Lines>
  <Paragraphs>2</Paragraphs>
  <TotalTime>7</TotalTime>
  <ScaleCrop>false</ScaleCrop>
  <LinksUpToDate>false</LinksUpToDate>
  <CharactersWithSpaces>1210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2019-02-15T06:50:00Z</dcterms:created>
  <dc:creator>lq</dc:creator>
  <cp:lastModifiedBy>姚哥</cp:lastModifiedBy>
  <cp:lastPrinted>2020-09-18T01:34:00Z</cp:lastPrinted>
  <dcterms:modified xsi:type="dcterms:W3CDTF">2020-09-30T01:48:41Z</dcterms:modified>
  <cp:revision>228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