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12" w:lineRule="auto"/>
        <w:jc w:val="center"/>
        <w:rPr>
          <w:rFonts w:ascii="黑体" w:hAnsi="黑体" w:eastAsia="黑体" w:cs="黑体"/>
          <w:sz w:val="44"/>
          <w:szCs w:val="44"/>
          <w:lang w:eastAsia="zh-Hans"/>
        </w:rPr>
      </w:pPr>
    </w:p>
    <w:p>
      <w:pPr>
        <w:spacing w:line="312" w:lineRule="auto"/>
        <w:jc w:val="center"/>
        <w:rPr>
          <w:rFonts w:ascii="黑体" w:hAnsi="黑体" w:eastAsia="黑体" w:cs="黑体"/>
          <w:sz w:val="44"/>
          <w:szCs w:val="44"/>
          <w:lang w:eastAsia="zh-Hans"/>
        </w:rPr>
      </w:pPr>
    </w:p>
    <w:p>
      <w:pPr>
        <w:spacing w:line="312" w:lineRule="auto"/>
        <w:jc w:val="center"/>
        <w:rPr>
          <w:rFonts w:ascii="黑体" w:hAnsi="黑体" w:eastAsia="黑体" w:cs="黑体"/>
          <w:sz w:val="44"/>
          <w:szCs w:val="44"/>
          <w:lang w:eastAsia="zh-Hans"/>
        </w:rPr>
      </w:pPr>
    </w:p>
    <w:p>
      <w:pPr>
        <w:spacing w:line="312" w:lineRule="auto"/>
        <w:jc w:val="both"/>
        <w:rPr>
          <w:rFonts w:ascii="黑体" w:hAnsi="黑体" w:eastAsia="黑体" w:cs="黑体"/>
          <w:sz w:val="44"/>
          <w:szCs w:val="44"/>
          <w:lang w:eastAsia="zh-Hans"/>
        </w:rPr>
      </w:pPr>
    </w:p>
    <w:p>
      <w:pPr>
        <w:spacing w:line="312" w:lineRule="auto"/>
        <w:jc w:val="center"/>
        <w:rPr>
          <w:rFonts w:ascii="黑体" w:hAnsi="黑体" w:eastAsia="黑体" w:cs="黑体"/>
          <w:sz w:val="44"/>
          <w:szCs w:val="44"/>
          <w:lang w:eastAsia="zh-Hans"/>
        </w:rPr>
      </w:pPr>
    </w:p>
    <w:p>
      <w:pPr>
        <w:spacing w:line="312" w:lineRule="auto"/>
        <w:jc w:val="center"/>
        <w:rPr>
          <w:rFonts w:ascii="黑体" w:hAnsi="黑体" w:eastAsia="黑体" w:cs="黑体"/>
          <w:sz w:val="72"/>
          <w:szCs w:val="72"/>
          <w:lang w:eastAsia="zh-Hans"/>
        </w:rPr>
      </w:pPr>
      <w:r>
        <w:rPr>
          <w:rFonts w:hint="eastAsia" w:ascii="黑体" w:hAnsi="黑体" w:eastAsia="黑体" w:cs="黑体"/>
          <w:sz w:val="72"/>
          <w:szCs w:val="72"/>
          <w:lang w:eastAsia="zh-Hans"/>
        </w:rPr>
        <w:t>律师办理商业秘密民事诉讼</w:t>
      </w:r>
    </w:p>
    <w:p>
      <w:pPr>
        <w:spacing w:line="312" w:lineRule="auto"/>
        <w:jc w:val="center"/>
        <w:rPr>
          <w:rFonts w:ascii="仿宋" w:hAnsi="仿宋" w:eastAsia="仿宋" w:cs="仿宋"/>
          <w:sz w:val="32"/>
          <w:szCs w:val="32"/>
          <w:lang w:eastAsia="zh-Hans"/>
        </w:rPr>
      </w:pPr>
      <w:r>
        <w:rPr>
          <w:rFonts w:hint="eastAsia" w:ascii="黑体" w:hAnsi="黑体" w:eastAsia="黑体" w:cs="黑体"/>
          <w:sz w:val="72"/>
          <w:szCs w:val="72"/>
          <w:lang w:eastAsia="zh-Hans"/>
        </w:rPr>
        <w:t>业务操作指引</w:t>
      </w: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both"/>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r>
        <w:rPr>
          <w:rFonts w:hint="eastAsia" w:ascii="仿宋" w:hAnsi="仿宋" w:eastAsia="仿宋" w:cs="仿宋"/>
          <w:sz w:val="32"/>
          <w:szCs w:val="32"/>
          <w:lang w:eastAsia="zh-Hans"/>
        </w:rPr>
        <w:t>浙江省律师协会知识产权专业委员会</w:t>
      </w:r>
    </w:p>
    <w:p>
      <w:pPr>
        <w:spacing w:line="312" w:lineRule="auto"/>
        <w:jc w:val="center"/>
        <w:rPr>
          <w:rFonts w:ascii="仿宋" w:hAnsi="仿宋" w:eastAsia="仿宋" w:cs="仿宋"/>
          <w:sz w:val="32"/>
          <w:szCs w:val="32"/>
          <w:lang w:eastAsia="zh-Hans"/>
        </w:rPr>
      </w:pPr>
    </w:p>
    <w:p>
      <w:pPr>
        <w:spacing w:line="312" w:lineRule="auto"/>
        <w:jc w:val="center"/>
        <w:rPr>
          <w:rFonts w:ascii="仿宋" w:hAnsi="仿宋" w:eastAsia="仿宋" w:cs="仿宋"/>
          <w:sz w:val="32"/>
          <w:szCs w:val="32"/>
          <w:lang w:eastAsia="zh-Hans"/>
        </w:rPr>
      </w:pPr>
      <w:r>
        <w:rPr>
          <w:rFonts w:ascii="仿宋" w:hAnsi="仿宋" w:eastAsia="仿宋" w:cs="仿宋"/>
          <w:sz w:val="32"/>
          <w:szCs w:val="32"/>
          <w:lang w:eastAsia="zh-Hans"/>
        </w:rPr>
        <w:t>2022</w:t>
      </w:r>
      <w:r>
        <w:rPr>
          <w:rFonts w:hint="eastAsia" w:ascii="仿宋" w:hAnsi="仿宋" w:eastAsia="仿宋" w:cs="仿宋"/>
          <w:sz w:val="32"/>
          <w:szCs w:val="32"/>
          <w:lang w:eastAsia="zh-Hans"/>
        </w:rPr>
        <w:t>年</w:t>
      </w:r>
      <w:r>
        <w:rPr>
          <w:rFonts w:hint="eastAsia" w:ascii="仿宋" w:hAnsi="仿宋" w:eastAsia="仿宋" w:cs="仿宋"/>
          <w:sz w:val="32"/>
          <w:szCs w:val="32"/>
          <w:lang w:val="en-US" w:eastAsia="zh-CN"/>
        </w:rPr>
        <w:t xml:space="preserve">  </w:t>
      </w:r>
      <w:bookmarkStart w:id="51" w:name="_GoBack"/>
      <w:bookmarkEnd w:id="51"/>
      <w:r>
        <w:rPr>
          <w:rFonts w:hint="eastAsia" w:ascii="仿宋" w:hAnsi="仿宋" w:eastAsia="仿宋" w:cs="仿宋"/>
          <w:sz w:val="32"/>
          <w:szCs w:val="32"/>
          <w:lang w:val="en-US" w:eastAsia="zh-CN"/>
        </w:rPr>
        <w:t>12</w:t>
      </w:r>
      <w:r>
        <w:rPr>
          <w:rFonts w:hint="eastAsia" w:ascii="仿宋" w:hAnsi="仿宋" w:eastAsia="仿宋" w:cs="仿宋"/>
          <w:sz w:val="32"/>
          <w:szCs w:val="32"/>
          <w:lang w:eastAsia="zh-Hans"/>
        </w:rPr>
        <w:t>月</w:t>
      </w:r>
    </w:p>
    <w:p>
      <w:pPr>
        <w:spacing w:line="312" w:lineRule="auto"/>
        <w:jc w:val="both"/>
        <w:rPr>
          <w:rFonts w:hint="eastAsia" w:ascii="仿宋" w:hAnsi="仿宋" w:eastAsia="仿宋" w:cs="仿宋"/>
          <w:sz w:val="32"/>
          <w:szCs w:val="32"/>
          <w:lang w:eastAsia="zh-Hans"/>
        </w:rPr>
      </w:pPr>
    </w:p>
    <w:p>
      <w:pPr>
        <w:spacing w:line="312" w:lineRule="auto"/>
        <w:jc w:val="both"/>
        <w:rPr>
          <w:rFonts w:hint="eastAsia" w:ascii="仿宋" w:hAnsi="仿宋" w:eastAsia="仿宋" w:cs="仿宋"/>
          <w:sz w:val="32"/>
          <w:szCs w:val="32"/>
          <w:lang w:eastAsia="zh-Hans"/>
        </w:rPr>
      </w:pPr>
    </w:p>
    <w:p>
      <w:pPr>
        <w:spacing w:line="312" w:lineRule="auto"/>
        <w:jc w:val="center"/>
        <w:rPr>
          <w:rFonts w:ascii="仿宋" w:hAnsi="仿宋" w:eastAsia="仿宋" w:cs="仿宋"/>
          <w:sz w:val="28"/>
          <w:szCs w:val="28"/>
          <w:lang w:eastAsia="zh-Hans"/>
        </w:rPr>
      </w:pPr>
      <w:r>
        <w:rPr>
          <w:rFonts w:hint="eastAsia" w:ascii="黑体" w:hAnsi="黑体" w:eastAsia="黑体" w:cs="黑体"/>
          <w:sz w:val="36"/>
          <w:szCs w:val="36"/>
          <w:lang w:eastAsia="zh-Hans"/>
        </w:rPr>
        <w:t>编写说明</w:t>
      </w:r>
    </w:p>
    <w:p>
      <w:pPr>
        <w:spacing w:line="312" w:lineRule="auto"/>
        <w:jc w:val="both"/>
        <w:rPr>
          <w:rFonts w:ascii="仿宋" w:hAnsi="仿宋" w:eastAsia="仿宋" w:cs="仿宋"/>
          <w:sz w:val="28"/>
          <w:szCs w:val="28"/>
          <w:lang w:eastAsia="zh-Hans"/>
        </w:rPr>
      </w:pPr>
    </w:p>
    <w:p>
      <w:pPr>
        <w:spacing w:line="312" w:lineRule="auto"/>
        <w:ind w:firstLine="480" w:firstLineChars="200"/>
        <w:jc w:val="both"/>
        <w:rPr>
          <w:rFonts w:ascii="仿宋" w:hAnsi="仿宋" w:eastAsia="仿宋" w:cs="仿宋"/>
          <w:lang w:eastAsia="zh-Hans"/>
        </w:rPr>
      </w:pPr>
      <w:r>
        <w:rPr>
          <w:rFonts w:hint="eastAsia" w:ascii="仿宋" w:hAnsi="仿宋" w:eastAsia="仿宋" w:cs="仿宋"/>
          <w:lang w:eastAsia="zh-Hans"/>
        </w:rPr>
        <w:t>2021年3月初，浙江省律师协会知识产权专业委员会（以下简称“知产委”）根据 2019 年修订的《反不正当竞争法》和 2020年制定的《刑法修正案十一》《最高人民法院关于审理侵犯商业秘密民事案件适用法律若干问题的规定》《最高人民法院</w:t>
      </w:r>
      <w:r>
        <w:rPr>
          <w:rFonts w:ascii="仿宋" w:hAnsi="仿宋" w:eastAsia="仿宋" w:cs="仿宋"/>
          <w:lang w:eastAsia="zh-Hans"/>
        </w:rPr>
        <w:t xml:space="preserve"> </w:t>
      </w:r>
      <w:r>
        <w:rPr>
          <w:rFonts w:hint="eastAsia" w:ascii="仿宋" w:hAnsi="仿宋" w:eastAsia="仿宋" w:cs="仿宋"/>
          <w:lang w:eastAsia="zh-Hans"/>
        </w:rPr>
        <w:t>最高人民检察院关于办理侵犯知识产权刑事案件具体应用法律若干问题的解释（三）》等法律、司法解释的规定，针对律师业务特点，拟定了工作计划，并成立了编写《律师办理商业秘密民事诉讼业务操作指引》（以下简称“《指引》”）的工作小组。编写组由知产委商业秘密研究部负责人徐敏律师牵头，成员包括知产委主任吕甲木律师和</w:t>
      </w:r>
      <w:r>
        <w:rPr>
          <w:rFonts w:ascii="仿宋" w:hAnsi="仿宋" w:eastAsia="仿宋" w:cs="仿宋"/>
          <w:lang w:eastAsia="zh-Hans"/>
        </w:rPr>
        <w:t>3</w:t>
      </w:r>
      <w:r>
        <w:rPr>
          <w:rFonts w:hint="eastAsia" w:ascii="仿宋" w:hAnsi="仿宋" w:eastAsia="仿宋" w:cs="仿宋"/>
          <w:lang w:eastAsia="zh-Hans"/>
        </w:rPr>
        <w:t>位副主任黄妙、吴壮、黄润生律师，以及委员姚小娟、郭小丽、王红燕、项俊勇律师。编写组成立以后，即开展了编写工作，具体编写工作情况如下：</w:t>
      </w:r>
    </w:p>
    <w:p>
      <w:pPr>
        <w:spacing w:line="312" w:lineRule="auto"/>
        <w:ind w:firstLine="480" w:firstLineChars="200"/>
        <w:jc w:val="both"/>
        <w:rPr>
          <w:rFonts w:ascii="仿宋" w:hAnsi="仿宋" w:eastAsia="仿宋" w:cs="仿宋"/>
          <w:lang w:eastAsia="zh-Hans"/>
        </w:rPr>
      </w:pPr>
      <w:r>
        <w:rPr>
          <w:rFonts w:hint="eastAsia" w:ascii="仿宋" w:hAnsi="仿宋" w:eastAsia="仿宋" w:cs="仿宋"/>
          <w:lang w:eastAsia="zh-Hans"/>
        </w:rPr>
        <w:t>编写组首先讨论确定了《指引》的定位与指导原则以及工作分工。由于是针对律师业务操作的指引，本《指引》在强调专业性的基础上，注重实务性与可操作性，对律师具有参考价值。《指引》编写方案确定以律师办理业务的流程为架构，在各业务阶段确立相应的操作要点与业务办理风险点，以区别于先前其他省市的业务指引。同时，附上部分典型案例。确定第一章总则和最后的附录由徐敏起草；第二章商业秘密民事诉讼类型和</w:t>
      </w:r>
      <w:r>
        <w:rPr>
          <w:rFonts w:hint="eastAsia" w:ascii="仿宋" w:hAnsi="仿宋" w:eastAsia="仿宋" w:cs="仿宋"/>
        </w:rPr>
        <w:t>第六章附则</w:t>
      </w:r>
      <w:r>
        <w:rPr>
          <w:rFonts w:hint="eastAsia" w:ascii="仿宋" w:hAnsi="仿宋" w:eastAsia="仿宋" w:cs="仿宋"/>
          <w:lang w:eastAsia="zh-Hans"/>
        </w:rPr>
        <w:t xml:space="preserve">由吕甲木起草；第三章侵权诉讼的诉前工作由吴壮、王红燕起草；第四章侵权诉讼程序由姚小娟起草；第五章侵权诉讼二审程序由黄润生、项俊勇起草（后经过章节整合调整，该章作了删除）；第六章侵权诉讼其他常规程序由黄妙、郭小丽起草。 </w:t>
      </w:r>
    </w:p>
    <w:p>
      <w:pPr>
        <w:spacing w:line="312" w:lineRule="auto"/>
        <w:ind w:firstLine="480" w:firstLineChars="200"/>
        <w:jc w:val="both"/>
        <w:rPr>
          <w:rFonts w:ascii="仿宋" w:hAnsi="仿宋" w:eastAsia="仿宋" w:cs="仿宋"/>
          <w:lang w:eastAsia="zh-Hans"/>
        </w:rPr>
      </w:pPr>
      <w:r>
        <w:rPr>
          <w:rFonts w:hint="eastAsia" w:ascii="仿宋" w:hAnsi="仿宋" w:eastAsia="仿宋" w:cs="仿宋"/>
          <w:lang w:eastAsia="zh-Hans"/>
        </w:rPr>
        <w:t>2021年4月底，编写组成员根据《大纲》编写完成的《指引》各章节内容，进行了初步的整合、调整与修改。2021年4 月 29 日，编写组就《指引》进一步修改、调整，组织了研讨会，就编写完成的《指引》初稿进行了研讨。通过此次研讨，进一步调整了思路，同时会后整理了相关修改意见。2021年6月 27 日，聘请评审专家省高院何琼法官、中国计量大学冀瑜副教授、天册律师事务所方双复律师与全体知产委委员一起对《指引》初稿进行了研讨、评议。根据评议意见，对《指引》作了系统、大规模的调整、修改。202</w:t>
      </w:r>
      <w:r>
        <w:rPr>
          <w:rFonts w:ascii="仿宋" w:hAnsi="仿宋" w:eastAsia="仿宋" w:cs="仿宋"/>
          <w:lang w:eastAsia="zh-Hans"/>
        </w:rPr>
        <w:t>2</w:t>
      </w:r>
      <w:r>
        <w:rPr>
          <w:rFonts w:hint="eastAsia" w:ascii="仿宋" w:hAnsi="仿宋" w:eastAsia="仿宋" w:cs="仿宋"/>
          <w:lang w:eastAsia="zh-Hans"/>
        </w:rPr>
        <w:t>年1月 23 日，知产委全体委员再次对《指引》进行了评议与讨论。2022年4月初，在前期各阶段工作的基础上，编写组再次对《指引》作了调整、修改、完善，最后由徐敏、吕甲木负责统稿、定稿。</w:t>
      </w:r>
    </w:p>
    <w:p>
      <w:pPr>
        <w:spacing w:line="312" w:lineRule="auto"/>
        <w:jc w:val="both"/>
        <w:rPr>
          <w:rFonts w:ascii="仿宋" w:hAnsi="仿宋" w:eastAsia="仿宋" w:cs="仿宋"/>
          <w:lang w:eastAsia="zh-Hans"/>
        </w:rPr>
      </w:pPr>
    </w:p>
    <w:p>
      <w:pPr>
        <w:spacing w:line="312" w:lineRule="auto"/>
        <w:jc w:val="both"/>
        <w:rPr>
          <w:rFonts w:ascii="仿宋" w:hAnsi="仿宋" w:eastAsia="仿宋" w:cs="仿宋"/>
          <w:lang w:eastAsia="zh-Hans"/>
        </w:rPr>
      </w:pPr>
      <w:r>
        <w:rPr>
          <w:rFonts w:hint="eastAsia" w:ascii="仿宋" w:hAnsi="仿宋" w:eastAsia="仿宋" w:cs="仿宋"/>
          <w:lang w:eastAsia="zh-Hans"/>
        </w:rPr>
        <w:t xml:space="preserve">                                浙江省律师协会知识产权委员会</w:t>
      </w:r>
    </w:p>
    <w:p>
      <w:pPr>
        <w:spacing w:line="312" w:lineRule="auto"/>
        <w:jc w:val="both"/>
        <w:rPr>
          <w:rFonts w:ascii="仿宋" w:hAnsi="仿宋" w:eastAsia="仿宋" w:cs="仿宋"/>
          <w:lang w:eastAsia="zh-Hans"/>
        </w:rPr>
      </w:pPr>
      <w:r>
        <w:rPr>
          <w:rFonts w:hint="eastAsia" w:ascii="仿宋" w:hAnsi="仿宋" w:eastAsia="仿宋" w:cs="仿宋"/>
          <w:lang w:eastAsia="zh-Hans"/>
        </w:rPr>
        <w:t xml:space="preserve">                                      2022年</w:t>
      </w:r>
      <w:r>
        <w:rPr>
          <w:rFonts w:hint="eastAsia" w:ascii="仿宋" w:hAnsi="仿宋" w:eastAsia="仿宋" w:cs="仿宋"/>
          <w:lang w:val="en-US" w:eastAsia="zh-CN"/>
        </w:rPr>
        <w:t>12</w:t>
      </w:r>
      <w:r>
        <w:rPr>
          <w:rFonts w:hint="eastAsia" w:ascii="仿宋" w:hAnsi="仿宋" w:eastAsia="仿宋" w:cs="仿宋"/>
          <w:lang w:eastAsia="zh-Hans"/>
        </w:rPr>
        <w:t>月</w:t>
      </w:r>
    </w:p>
    <w:p>
      <w:pPr>
        <w:spacing w:line="312" w:lineRule="auto"/>
        <w:jc w:val="both"/>
        <w:rPr>
          <w:rFonts w:ascii="仿宋" w:hAnsi="仿宋" w:eastAsia="仿宋" w:cs="仿宋"/>
          <w:sz w:val="28"/>
          <w:szCs w:val="28"/>
          <w:lang w:eastAsia="zh-Hans"/>
        </w:rPr>
        <w:sectPr>
          <w:footerReference r:id="rId4" w:type="default"/>
          <w:headerReference r:id="rId3" w:type="even"/>
          <w:footerReference r:id="rId5" w:type="even"/>
          <w:pgSz w:w="11906" w:h="16838"/>
          <w:pgMar w:top="1134" w:right="1134" w:bottom="1134" w:left="1701" w:header="851" w:footer="992" w:gutter="0"/>
          <w:pgNumType w:fmt="numberInDash" w:start="0"/>
          <w:cols w:space="0" w:num="1"/>
          <w:titlePg/>
          <w:docGrid w:linePitch="326" w:charSpace="0"/>
        </w:sectPr>
      </w:pPr>
    </w:p>
    <w:p>
      <w:pPr>
        <w:pStyle w:val="16"/>
        <w:tabs>
          <w:tab w:val="right" w:leader="dot" w:pos="9061"/>
        </w:tabs>
        <w:spacing w:line="312" w:lineRule="auto"/>
        <w:rPr>
          <w:rFonts w:ascii="黑体" w:hAnsi="黑体" w:eastAsia="黑体"/>
          <w:sz w:val="36"/>
          <w:szCs w:val="36"/>
        </w:rPr>
      </w:pPr>
    </w:p>
    <w:p>
      <w:pPr>
        <w:spacing w:line="312" w:lineRule="auto"/>
        <w:jc w:val="center"/>
        <w:rPr>
          <w:rFonts w:ascii="黑体" w:hAnsi="黑体" w:eastAsia="黑体" w:cs="黑体"/>
          <w:b/>
          <w:sz w:val="36"/>
          <w:szCs w:val="36"/>
        </w:rPr>
      </w:pPr>
      <w:r>
        <w:rPr>
          <w:rFonts w:hint="eastAsia" w:ascii="黑体" w:hAnsi="黑体" w:eastAsia="黑体" w:cs="黑体"/>
          <w:b/>
          <w:sz w:val="36"/>
          <w:szCs w:val="36"/>
        </w:rPr>
        <w:t>目  录</w:t>
      </w:r>
    </w:p>
    <w:p>
      <w:pPr>
        <w:spacing w:line="312" w:lineRule="auto"/>
        <w:jc w:val="center"/>
        <w:rPr>
          <w:b/>
          <w:sz w:val="32"/>
          <w:szCs w:val="32"/>
        </w:rPr>
      </w:pPr>
    </w:p>
    <w:p>
      <w:pPr>
        <w:pStyle w:val="16"/>
        <w:tabs>
          <w:tab w:val="right" w:leader="dot" w:pos="9061"/>
        </w:tabs>
        <w:rPr>
          <w:rFonts w:asciiTheme="minorHAnsi" w:hAnsiTheme="minorHAnsi" w:eastAsiaTheme="minorEastAsia" w:cstheme="minorBidi"/>
          <w:kern w:val="2"/>
        </w:rPr>
      </w:pPr>
      <w:r>
        <w:rPr>
          <w:rFonts w:ascii="黑体" w:hAnsi="黑体" w:eastAsia="黑体"/>
          <w:sz w:val="36"/>
          <w:szCs w:val="36"/>
        </w:rPr>
        <w:fldChar w:fldCharType="begin"/>
      </w:r>
      <w:r>
        <w:rPr>
          <w:rFonts w:ascii="黑体" w:hAnsi="黑体" w:eastAsia="黑体"/>
          <w:sz w:val="36"/>
          <w:szCs w:val="36"/>
        </w:rPr>
        <w:instrText xml:space="preserve"> TOC \o "1-3" \h \z </w:instrText>
      </w:r>
      <w:r>
        <w:rPr>
          <w:rFonts w:ascii="黑体" w:hAnsi="黑体" w:eastAsia="黑体"/>
          <w:sz w:val="36"/>
          <w:szCs w:val="36"/>
        </w:rPr>
        <w:fldChar w:fldCharType="separate"/>
      </w:r>
      <w:r>
        <w:fldChar w:fldCharType="begin"/>
      </w:r>
      <w:r>
        <w:instrText xml:space="preserve"> HYPERLINK \l "_Toc122294611" </w:instrText>
      </w:r>
      <w:r>
        <w:fldChar w:fldCharType="separate"/>
      </w:r>
      <w:r>
        <w:rPr>
          <w:rStyle w:val="30"/>
          <w:rFonts w:cs="黑体"/>
        </w:rPr>
        <w:t>第一章 总则</w:t>
      </w:r>
      <w:r>
        <w:tab/>
      </w:r>
      <w:r>
        <w:fldChar w:fldCharType="begin"/>
      </w:r>
      <w:r>
        <w:instrText xml:space="preserve"> PAGEREF _Toc122294611 \h </w:instrText>
      </w:r>
      <w:r>
        <w:fldChar w:fldCharType="separate"/>
      </w:r>
      <w:r>
        <w:t>- 1 -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"_Toc122294612" </w:instrText>
      </w:r>
      <w:r>
        <w:fldChar w:fldCharType="separate"/>
      </w:r>
      <w:r>
        <w:rPr>
          <w:rStyle w:val="30"/>
        </w:rPr>
        <w:t>第一节 概述</w:t>
      </w:r>
      <w:r>
        <w:tab/>
      </w:r>
      <w:r>
        <w:fldChar w:fldCharType="begin"/>
      </w:r>
      <w:r>
        <w:instrText xml:space="preserve"> PAGEREF _Toc122294612 \h </w:instrText>
      </w:r>
      <w:r>
        <w:fldChar w:fldCharType="separate"/>
      </w:r>
      <w:r>
        <w:t>- 1 -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"_Toc122294613" </w:instrText>
      </w:r>
      <w:r>
        <w:fldChar w:fldCharType="separate"/>
      </w:r>
      <w:r>
        <w:rPr>
          <w:rStyle w:val="30"/>
        </w:rPr>
        <w:t>第二节 商业秘密概念与属性</w:t>
      </w:r>
      <w:r>
        <w:tab/>
      </w:r>
      <w:r>
        <w:fldChar w:fldCharType="begin"/>
      </w:r>
      <w:r>
        <w:instrText xml:space="preserve"> PAGEREF _Toc122294613 \h </w:instrText>
      </w:r>
      <w:r>
        <w:fldChar w:fldCharType="separate"/>
      </w:r>
      <w:r>
        <w:t>- 1 -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"_Toc122294614" </w:instrText>
      </w:r>
      <w:r>
        <w:fldChar w:fldCharType="separate"/>
      </w:r>
      <w:r>
        <w:rPr>
          <w:rStyle w:val="30"/>
        </w:rPr>
        <w:t>第三节 商业秘密与其他知识产权</w:t>
      </w:r>
      <w:r>
        <w:tab/>
      </w:r>
      <w:r>
        <w:fldChar w:fldCharType="begin"/>
      </w:r>
      <w:r>
        <w:instrText xml:space="preserve"> PAGEREF _Toc122294614 \h </w:instrText>
      </w:r>
      <w:r>
        <w:fldChar w:fldCharType="separate"/>
      </w:r>
      <w:r>
        <w:t>- 2 -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"_Toc122294615" </w:instrText>
      </w:r>
      <w:r>
        <w:fldChar w:fldCharType="separate"/>
      </w:r>
      <w:r>
        <w:rPr>
          <w:rStyle w:val="30"/>
        </w:rPr>
        <w:t>第四节 商业秘密类型与范围</w:t>
      </w:r>
      <w:r>
        <w:tab/>
      </w:r>
      <w:r>
        <w:fldChar w:fldCharType="begin"/>
      </w:r>
      <w:r>
        <w:instrText xml:space="preserve"> PAGEREF _Toc122294615 \h </w:instrText>
      </w:r>
      <w:r>
        <w:fldChar w:fldCharType="separate"/>
      </w:r>
      <w:r>
        <w:t>- 4 -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"_Toc122294616" </w:instrText>
      </w:r>
      <w:r>
        <w:fldChar w:fldCharType="separate"/>
      </w:r>
      <w:r>
        <w:rPr>
          <w:rStyle w:val="30"/>
        </w:rPr>
        <w:t>第五节 商业秘密的构成要件</w:t>
      </w:r>
      <w:r>
        <w:tab/>
      </w:r>
      <w:r>
        <w:fldChar w:fldCharType="begin"/>
      </w:r>
      <w:r>
        <w:instrText xml:space="preserve"> PAGEREF _Toc122294616 \h </w:instrText>
      </w:r>
      <w:r>
        <w:fldChar w:fldCharType="separate"/>
      </w:r>
      <w:r>
        <w:t>- 5 -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"_Toc122294617" </w:instrText>
      </w:r>
      <w:r>
        <w:fldChar w:fldCharType="separate"/>
      </w:r>
      <w:r>
        <w:rPr>
          <w:rStyle w:val="30"/>
        </w:rPr>
        <w:t>第六节 侵犯商业秘密的行为</w:t>
      </w:r>
      <w:r>
        <w:tab/>
      </w:r>
      <w:r>
        <w:fldChar w:fldCharType="begin"/>
      </w:r>
      <w:r>
        <w:instrText xml:space="preserve"> PAGEREF _Toc122294617 \h </w:instrText>
      </w:r>
      <w:r>
        <w:fldChar w:fldCharType="separate"/>
      </w:r>
      <w:r>
        <w:t>- 7 -</w:t>
      </w:r>
      <w:r>
        <w:fldChar w:fldCharType="end"/>
      </w:r>
      <w:r>
        <w:fldChar w:fldCharType="end"/>
      </w:r>
    </w:p>
    <w:p>
      <w:pPr>
        <w:pStyle w:val="16"/>
        <w:tabs>
          <w:tab w:val="right" w:leader="dot" w:pos="9061"/>
        </w:tabs>
        <w:rPr>
          <w:rFonts w:asciiTheme="minorHAnsi" w:hAnsiTheme="minorHAnsi" w:eastAsiaTheme="minorEastAsia" w:cstheme="minorBidi"/>
          <w:kern w:val="2"/>
        </w:rPr>
      </w:pPr>
      <w:r>
        <w:fldChar w:fldCharType="begin"/>
      </w:r>
      <w:r>
        <w:instrText xml:space="preserve"> HYPERLINK \l "_Toc122294618" </w:instrText>
      </w:r>
      <w:r>
        <w:fldChar w:fldCharType="separate"/>
      </w:r>
      <w:r>
        <w:rPr>
          <w:rStyle w:val="30"/>
          <w:rFonts w:cs="黑体"/>
        </w:rPr>
        <w:t>第二章  商业秘密民事诉讼类型</w:t>
      </w:r>
      <w:r>
        <w:tab/>
      </w:r>
      <w:r>
        <w:fldChar w:fldCharType="begin"/>
      </w:r>
      <w:r>
        <w:instrText xml:space="preserve"> PAGEREF _Toc122294618 \h </w:instrText>
      </w:r>
      <w:r>
        <w:fldChar w:fldCharType="separate"/>
      </w:r>
      <w:r>
        <w:t>- 9 -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"_Toc122294619" </w:instrText>
      </w:r>
      <w:r>
        <w:fldChar w:fldCharType="separate"/>
      </w:r>
      <w:r>
        <w:rPr>
          <w:rStyle w:val="30"/>
        </w:rPr>
        <w:t>第一节  侵害商业秘密纠纷</w:t>
      </w:r>
      <w:r>
        <w:tab/>
      </w:r>
      <w:r>
        <w:fldChar w:fldCharType="begin"/>
      </w:r>
      <w:r>
        <w:instrText xml:space="preserve"> PAGEREF _Toc122294619 \h </w:instrText>
      </w:r>
      <w:r>
        <w:fldChar w:fldCharType="separate"/>
      </w:r>
      <w:r>
        <w:t>- 9 -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"_Toc122294620" </w:instrText>
      </w:r>
      <w:r>
        <w:fldChar w:fldCharType="separate"/>
      </w:r>
      <w:r>
        <w:rPr>
          <w:rStyle w:val="30"/>
        </w:rPr>
        <w:t>第二节  确认不侵害商业秘密纠纷</w:t>
      </w:r>
      <w:r>
        <w:tab/>
      </w:r>
      <w:r>
        <w:fldChar w:fldCharType="begin"/>
      </w:r>
      <w:r>
        <w:instrText xml:space="preserve"> PAGEREF _Toc122294620 \h </w:instrText>
      </w:r>
      <w:r>
        <w:fldChar w:fldCharType="separate"/>
      </w:r>
      <w:r>
        <w:t>- 11 -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"_Toc122294621" </w:instrText>
      </w:r>
      <w:r>
        <w:fldChar w:fldCharType="separate"/>
      </w:r>
      <w:r>
        <w:rPr>
          <w:rStyle w:val="30"/>
        </w:rPr>
        <w:t>第三节  商业秘密合同纠纷</w:t>
      </w:r>
      <w:r>
        <w:tab/>
      </w:r>
      <w:r>
        <w:fldChar w:fldCharType="begin"/>
      </w:r>
      <w:r>
        <w:instrText xml:space="preserve"> PAGEREF _Toc122294621 \h </w:instrText>
      </w:r>
      <w:r>
        <w:fldChar w:fldCharType="separate"/>
      </w:r>
      <w:r>
        <w:t>- 11 -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"_Toc122294622" </w:instrText>
      </w:r>
      <w:r>
        <w:fldChar w:fldCharType="separate"/>
      </w:r>
      <w:r>
        <w:rPr>
          <w:rStyle w:val="30"/>
        </w:rPr>
        <w:t>第四节  涉商业秘密劳动合同纠纷</w:t>
      </w:r>
      <w:r>
        <w:tab/>
      </w:r>
      <w:r>
        <w:fldChar w:fldCharType="begin"/>
      </w:r>
      <w:r>
        <w:instrText xml:space="preserve"> PAGEREF _Toc122294622 \h </w:instrText>
      </w:r>
      <w:r>
        <w:fldChar w:fldCharType="separate"/>
      </w:r>
      <w:r>
        <w:t>- 13 -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"_Toc122294623" </w:instrText>
      </w:r>
      <w:r>
        <w:fldChar w:fldCharType="separate"/>
      </w:r>
      <w:r>
        <w:rPr>
          <w:rStyle w:val="30"/>
        </w:rPr>
        <w:t>第五节  商业秘密民事、行政、刑事交叉案件</w:t>
      </w:r>
      <w:r>
        <w:tab/>
      </w:r>
      <w:r>
        <w:fldChar w:fldCharType="begin"/>
      </w:r>
      <w:r>
        <w:instrText xml:space="preserve"> PAGEREF _Toc122294623 \h </w:instrText>
      </w:r>
      <w:r>
        <w:fldChar w:fldCharType="separate"/>
      </w:r>
      <w:r>
        <w:t>- 14 -</w:t>
      </w:r>
      <w:r>
        <w:fldChar w:fldCharType="end"/>
      </w:r>
      <w:r>
        <w:fldChar w:fldCharType="end"/>
      </w:r>
    </w:p>
    <w:p>
      <w:pPr>
        <w:pStyle w:val="16"/>
        <w:tabs>
          <w:tab w:val="right" w:leader="dot" w:pos="9061"/>
        </w:tabs>
        <w:rPr>
          <w:rFonts w:asciiTheme="minorHAnsi" w:hAnsiTheme="minorHAnsi" w:eastAsiaTheme="minorEastAsia" w:cstheme="minorBidi"/>
          <w:kern w:val="2"/>
        </w:rPr>
      </w:pPr>
      <w:r>
        <w:fldChar w:fldCharType="begin"/>
      </w:r>
      <w:r>
        <w:instrText xml:space="preserve"> HYPERLINK \l "_Toc122294624" </w:instrText>
      </w:r>
      <w:r>
        <w:fldChar w:fldCharType="separate"/>
      </w:r>
      <w:r>
        <w:rPr>
          <w:rStyle w:val="30"/>
          <w:rFonts w:cs="黑体"/>
        </w:rPr>
        <w:t>第三章 商业秘密侵权诉讼的诉前工作</w:t>
      </w:r>
      <w:r>
        <w:tab/>
      </w:r>
      <w:r>
        <w:fldChar w:fldCharType="begin"/>
      </w:r>
      <w:r>
        <w:instrText xml:space="preserve"> PAGEREF _Toc122294624 \h </w:instrText>
      </w:r>
      <w:r>
        <w:fldChar w:fldCharType="separate"/>
      </w:r>
      <w:r>
        <w:t>- 18 -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"_Toc122294625" </w:instrText>
      </w:r>
      <w:r>
        <w:fldChar w:fldCharType="separate"/>
      </w:r>
      <w:r>
        <w:rPr>
          <w:rStyle w:val="30"/>
        </w:rPr>
        <w:t>第一节 案件基本情况审查</w:t>
      </w:r>
      <w:r>
        <w:tab/>
      </w:r>
      <w:r>
        <w:fldChar w:fldCharType="begin"/>
      </w:r>
      <w:r>
        <w:instrText xml:space="preserve"> PAGEREF _Toc122294625 \h </w:instrText>
      </w:r>
      <w:r>
        <w:fldChar w:fldCharType="separate"/>
      </w:r>
      <w:r>
        <w:t>- 18 -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"_Toc122294626" </w:instrText>
      </w:r>
      <w:r>
        <w:fldChar w:fldCharType="separate"/>
      </w:r>
      <w:r>
        <w:rPr>
          <w:rStyle w:val="30"/>
        </w:rPr>
        <w:t>第二节 商业秘密案件的管辖</w:t>
      </w:r>
      <w:r>
        <w:tab/>
      </w:r>
      <w:r>
        <w:fldChar w:fldCharType="begin"/>
      </w:r>
      <w:r>
        <w:instrText xml:space="preserve"> PAGEREF _Toc122294626 \h </w:instrText>
      </w:r>
      <w:r>
        <w:fldChar w:fldCharType="separate"/>
      </w:r>
      <w:r>
        <w:t>- 20 -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"_Toc122294627" </w:instrText>
      </w:r>
      <w:r>
        <w:fldChar w:fldCharType="separate"/>
      </w:r>
      <w:r>
        <w:rPr>
          <w:rStyle w:val="30"/>
        </w:rPr>
        <w:t>第三节 商业秘密案件的证据收集</w:t>
      </w:r>
      <w:r>
        <w:tab/>
      </w:r>
      <w:r>
        <w:fldChar w:fldCharType="begin"/>
      </w:r>
      <w:r>
        <w:instrText xml:space="preserve"> PAGEREF _Toc122294627 \h </w:instrText>
      </w:r>
      <w:r>
        <w:fldChar w:fldCharType="separate"/>
      </w:r>
      <w:r>
        <w:t>- 21 -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"_Toc122294628" </w:instrText>
      </w:r>
      <w:r>
        <w:fldChar w:fldCharType="separate"/>
      </w:r>
      <w:r>
        <w:rPr>
          <w:rStyle w:val="30"/>
        </w:rPr>
        <w:t>第四节 其他诉前工作</w:t>
      </w:r>
      <w:r>
        <w:tab/>
      </w:r>
      <w:r>
        <w:fldChar w:fldCharType="begin"/>
      </w:r>
      <w:r>
        <w:instrText xml:space="preserve"> PAGEREF _Toc122294628 \h </w:instrText>
      </w:r>
      <w:r>
        <w:fldChar w:fldCharType="separate"/>
      </w:r>
      <w:r>
        <w:t>- 23 -</w:t>
      </w:r>
      <w:r>
        <w:fldChar w:fldCharType="end"/>
      </w:r>
      <w:r>
        <w:fldChar w:fldCharType="end"/>
      </w:r>
    </w:p>
    <w:p>
      <w:pPr>
        <w:pStyle w:val="16"/>
        <w:tabs>
          <w:tab w:val="right" w:leader="dot" w:pos="9061"/>
        </w:tabs>
        <w:rPr>
          <w:rFonts w:asciiTheme="minorHAnsi" w:hAnsiTheme="minorHAnsi" w:eastAsiaTheme="minorEastAsia" w:cstheme="minorBidi"/>
          <w:kern w:val="2"/>
        </w:rPr>
      </w:pPr>
      <w:r>
        <w:fldChar w:fldCharType="begin"/>
      </w:r>
      <w:r>
        <w:instrText xml:space="preserve"> HYPERLINK \l "_Toc122294629" </w:instrText>
      </w:r>
      <w:r>
        <w:fldChar w:fldCharType="separate"/>
      </w:r>
      <w:r>
        <w:rPr>
          <w:rStyle w:val="30"/>
          <w:rFonts w:cs="黑体"/>
        </w:rPr>
        <w:t xml:space="preserve">第四章 </w:t>
      </w:r>
      <w:r>
        <w:rPr>
          <w:rStyle w:val="30"/>
          <w:rFonts w:cs="黑体"/>
          <w:lang w:eastAsia="zh-Hans"/>
        </w:rPr>
        <w:t>商业秘密</w:t>
      </w:r>
      <w:r>
        <w:rPr>
          <w:rStyle w:val="30"/>
          <w:rFonts w:cs="黑体"/>
        </w:rPr>
        <w:t>侵权诉讼程序</w:t>
      </w:r>
      <w:r>
        <w:tab/>
      </w:r>
      <w:r>
        <w:fldChar w:fldCharType="begin"/>
      </w:r>
      <w:r>
        <w:instrText xml:space="preserve"> PAGEREF _Toc122294629 \h </w:instrText>
      </w:r>
      <w:r>
        <w:fldChar w:fldCharType="separate"/>
      </w:r>
      <w:r>
        <w:t>- 25 -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"_Toc122294630" </w:instrText>
      </w:r>
      <w:r>
        <w:fldChar w:fldCharType="separate"/>
      </w:r>
      <w:r>
        <w:rPr>
          <w:rStyle w:val="30"/>
        </w:rPr>
        <w:t>第一节 提起诉讼</w:t>
      </w:r>
      <w:r>
        <w:tab/>
      </w:r>
      <w:r>
        <w:fldChar w:fldCharType="begin"/>
      </w:r>
      <w:r>
        <w:instrText xml:space="preserve"> PAGEREF _Toc122294630 \h </w:instrText>
      </w:r>
      <w:r>
        <w:fldChar w:fldCharType="separate"/>
      </w:r>
      <w:r>
        <w:t>- 25 -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"_Toc122294631" </w:instrText>
      </w:r>
      <w:r>
        <w:fldChar w:fldCharType="separate"/>
      </w:r>
      <w:r>
        <w:rPr>
          <w:rStyle w:val="30"/>
        </w:rPr>
        <w:t>第二节 庭前准备</w:t>
      </w:r>
      <w:r>
        <w:tab/>
      </w:r>
      <w:r>
        <w:fldChar w:fldCharType="begin"/>
      </w:r>
      <w:r>
        <w:instrText xml:space="preserve"> PAGEREF _Toc122294631 \h </w:instrText>
      </w:r>
      <w:r>
        <w:fldChar w:fldCharType="separate"/>
      </w:r>
      <w:r>
        <w:t>- 28 -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"_Toc122294632" </w:instrText>
      </w:r>
      <w:r>
        <w:fldChar w:fldCharType="separate"/>
      </w:r>
      <w:r>
        <w:rPr>
          <w:rStyle w:val="30"/>
        </w:rPr>
        <w:t>第三节 听  证</w:t>
      </w:r>
      <w:r>
        <w:tab/>
      </w:r>
      <w:r>
        <w:fldChar w:fldCharType="begin"/>
      </w:r>
      <w:r>
        <w:instrText xml:space="preserve"> PAGEREF _Toc122294632 \h </w:instrText>
      </w:r>
      <w:r>
        <w:fldChar w:fldCharType="separate"/>
      </w:r>
      <w:r>
        <w:t>- 30 -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"_Toc122294633" </w:instrText>
      </w:r>
      <w:r>
        <w:fldChar w:fldCharType="separate"/>
      </w:r>
      <w:r>
        <w:rPr>
          <w:rStyle w:val="30"/>
        </w:rPr>
        <w:t>第四节 庭  审</w:t>
      </w:r>
      <w:r>
        <w:tab/>
      </w:r>
      <w:r>
        <w:fldChar w:fldCharType="begin"/>
      </w:r>
      <w:r>
        <w:instrText xml:space="preserve"> PAGEREF _Toc122294633 \h </w:instrText>
      </w:r>
      <w:r>
        <w:fldChar w:fldCharType="separate"/>
      </w:r>
      <w:r>
        <w:t>- 31 -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"_Toc122294634" </w:instrText>
      </w:r>
      <w:r>
        <w:fldChar w:fldCharType="separate"/>
      </w:r>
      <w:r>
        <w:rPr>
          <w:rStyle w:val="30"/>
        </w:rPr>
        <w:t>第五节 庭审过程二次泄密的防范措施</w:t>
      </w:r>
      <w:r>
        <w:tab/>
      </w:r>
      <w:r>
        <w:fldChar w:fldCharType="begin"/>
      </w:r>
      <w:r>
        <w:instrText xml:space="preserve"> PAGEREF _Toc122294634 \h </w:instrText>
      </w:r>
      <w:r>
        <w:fldChar w:fldCharType="separate"/>
      </w:r>
      <w:r>
        <w:t>- 32 -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"_Toc122294635" </w:instrText>
      </w:r>
      <w:r>
        <w:fldChar w:fldCharType="separate"/>
      </w:r>
      <w:r>
        <w:rPr>
          <w:rStyle w:val="30"/>
        </w:rPr>
        <w:t>第六节 二审程序</w:t>
      </w:r>
      <w:r>
        <w:tab/>
      </w:r>
      <w:r>
        <w:fldChar w:fldCharType="begin"/>
      </w:r>
      <w:r>
        <w:instrText xml:space="preserve"> PAGEREF _Toc122294635 \h </w:instrText>
      </w:r>
      <w:r>
        <w:fldChar w:fldCharType="separate"/>
      </w:r>
      <w:r>
        <w:t>- 33 -</w:t>
      </w:r>
      <w:r>
        <w:fldChar w:fldCharType="end"/>
      </w:r>
      <w:r>
        <w:fldChar w:fldCharType="end"/>
      </w:r>
    </w:p>
    <w:p>
      <w:pPr>
        <w:pStyle w:val="16"/>
        <w:tabs>
          <w:tab w:val="right" w:leader="dot" w:pos="9061"/>
        </w:tabs>
        <w:rPr>
          <w:rFonts w:asciiTheme="minorHAnsi" w:hAnsiTheme="minorHAnsi" w:eastAsiaTheme="minorEastAsia" w:cstheme="minorBidi"/>
          <w:kern w:val="2"/>
        </w:rPr>
      </w:pPr>
      <w:r>
        <w:fldChar w:fldCharType="begin"/>
      </w:r>
      <w:r>
        <w:instrText xml:space="preserve"> HYPERLINK \l "_Toc122294636" </w:instrText>
      </w:r>
      <w:r>
        <w:fldChar w:fldCharType="separate"/>
      </w:r>
      <w:r>
        <w:rPr>
          <w:rStyle w:val="30"/>
          <w:rFonts w:cs="黑体"/>
        </w:rPr>
        <w:t xml:space="preserve">第五章 </w:t>
      </w:r>
      <w:r>
        <w:rPr>
          <w:rStyle w:val="30"/>
          <w:rFonts w:cs="黑体"/>
          <w:lang w:eastAsia="zh-Hans"/>
        </w:rPr>
        <w:t>商业秘密</w:t>
      </w:r>
      <w:r>
        <w:rPr>
          <w:rStyle w:val="30"/>
          <w:rFonts w:cs="黑体"/>
        </w:rPr>
        <w:t>侵权诉讼的</w:t>
      </w:r>
      <w:r>
        <w:rPr>
          <w:rStyle w:val="30"/>
          <w:rFonts w:cs="黑体"/>
          <w:lang w:eastAsia="zh-Hans"/>
        </w:rPr>
        <w:t>其他</w:t>
      </w:r>
      <w:r>
        <w:rPr>
          <w:rStyle w:val="30"/>
          <w:rFonts w:cs="黑体"/>
        </w:rPr>
        <w:t>程序</w:t>
      </w:r>
      <w:r>
        <w:tab/>
      </w:r>
      <w:r>
        <w:fldChar w:fldCharType="begin"/>
      </w:r>
      <w:r>
        <w:instrText xml:space="preserve"> PAGEREF _Toc122294636 \h </w:instrText>
      </w:r>
      <w:r>
        <w:fldChar w:fldCharType="separate"/>
      </w:r>
      <w:r>
        <w:t>- 34 -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"_Toc122294637" </w:instrText>
      </w:r>
      <w:r>
        <w:fldChar w:fldCharType="separate"/>
      </w:r>
      <w:r>
        <w:rPr>
          <w:rStyle w:val="30"/>
        </w:rPr>
        <w:t>第一节 证据保全</w:t>
      </w:r>
      <w:r>
        <w:tab/>
      </w:r>
      <w:r>
        <w:fldChar w:fldCharType="begin"/>
      </w:r>
      <w:r>
        <w:instrText xml:space="preserve"> PAGEREF _Toc122294637 \h </w:instrText>
      </w:r>
      <w:r>
        <w:fldChar w:fldCharType="separate"/>
      </w:r>
      <w:r>
        <w:t>- 34 -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"_Toc122294638" </w:instrText>
      </w:r>
      <w:r>
        <w:fldChar w:fldCharType="separate"/>
      </w:r>
      <w:r>
        <w:rPr>
          <w:rStyle w:val="30"/>
        </w:rPr>
        <w:t>第二节 司法鉴定及评估</w:t>
      </w:r>
      <w:r>
        <w:tab/>
      </w:r>
      <w:r>
        <w:fldChar w:fldCharType="begin"/>
      </w:r>
      <w:r>
        <w:instrText xml:space="preserve"> PAGEREF _Toc122294638 \h </w:instrText>
      </w:r>
      <w:r>
        <w:fldChar w:fldCharType="separate"/>
      </w:r>
      <w:r>
        <w:t>- 35 -</w:t>
      </w:r>
      <w:r>
        <w:fldChar w:fldCharType="end"/>
      </w:r>
      <w:r>
        <w:fldChar w:fldCharType="end"/>
      </w:r>
    </w:p>
    <w:p>
      <w:pPr>
        <w:pStyle w:val="19"/>
        <w:tabs>
          <w:tab w:val="right" w:leader="dot" w:pos="9061"/>
        </w:tabs>
        <w:rPr>
          <w:rFonts w:asciiTheme="minorHAnsi" w:hAnsiTheme="minorHAnsi" w:eastAsiaTheme="minorEastAsia" w:cstheme="minorBidi"/>
          <w:kern w:val="2"/>
        </w:rPr>
      </w:pPr>
      <w:r>
        <w:fldChar w:fldCharType="begin"/>
      </w:r>
      <w:r>
        <w:instrText xml:space="preserve"> HYPERLINK \l "_Toc122294639" </w:instrText>
      </w:r>
      <w:r>
        <w:fldChar w:fldCharType="separate"/>
      </w:r>
      <w:r>
        <w:rPr>
          <w:rStyle w:val="30"/>
        </w:rPr>
        <w:t>第三节 行为保全（禁令）</w:t>
      </w:r>
      <w:r>
        <w:tab/>
      </w:r>
      <w:r>
        <w:fldChar w:fldCharType="begin"/>
      </w:r>
      <w:r>
        <w:instrText xml:space="preserve"> PAGEREF _Toc122294639 \h </w:instrText>
      </w:r>
      <w:r>
        <w:fldChar w:fldCharType="separate"/>
      </w:r>
      <w:r>
        <w:t>- 37 -</w:t>
      </w:r>
      <w:r>
        <w:fldChar w:fldCharType="end"/>
      </w:r>
      <w:r>
        <w:fldChar w:fldCharType="end"/>
      </w:r>
    </w:p>
    <w:p>
      <w:pPr>
        <w:pStyle w:val="16"/>
        <w:tabs>
          <w:tab w:val="right" w:leader="dot" w:pos="9061"/>
        </w:tabs>
        <w:rPr>
          <w:rFonts w:asciiTheme="minorHAnsi" w:hAnsiTheme="minorHAnsi" w:eastAsiaTheme="minorEastAsia" w:cstheme="minorBidi"/>
          <w:kern w:val="2"/>
        </w:rPr>
      </w:pPr>
      <w:r>
        <w:fldChar w:fldCharType="begin"/>
      </w:r>
      <w:r>
        <w:instrText xml:space="preserve"> HYPERLINK \l "_Toc122294640" </w:instrText>
      </w:r>
      <w:r>
        <w:fldChar w:fldCharType="separate"/>
      </w:r>
      <w:r>
        <w:rPr>
          <w:rStyle w:val="30"/>
        </w:rPr>
        <w:t>第六章  附则</w:t>
      </w:r>
      <w:r>
        <w:tab/>
      </w:r>
      <w:r>
        <w:fldChar w:fldCharType="begin"/>
      </w:r>
      <w:r>
        <w:instrText xml:space="preserve"> PAGEREF _Toc122294640 \h </w:instrText>
      </w:r>
      <w:r>
        <w:fldChar w:fldCharType="separate"/>
      </w:r>
      <w:r>
        <w:t>- 42 -</w:t>
      </w:r>
      <w:r>
        <w:fldChar w:fldCharType="end"/>
      </w:r>
      <w:r>
        <w:fldChar w:fldCharType="end"/>
      </w:r>
    </w:p>
    <w:p>
      <w:pPr>
        <w:pStyle w:val="16"/>
        <w:tabs>
          <w:tab w:val="right" w:leader="dot" w:pos="9061"/>
        </w:tabs>
        <w:rPr>
          <w:rFonts w:asciiTheme="minorHAnsi" w:hAnsiTheme="minorHAnsi" w:eastAsiaTheme="minorEastAsia" w:cstheme="minorBidi"/>
          <w:kern w:val="2"/>
        </w:rPr>
      </w:pPr>
      <w:r>
        <w:fldChar w:fldCharType="begin"/>
      </w:r>
      <w:r>
        <w:instrText xml:space="preserve"> HYPERLINK \l "_Toc122294641" </w:instrText>
      </w:r>
      <w:r>
        <w:fldChar w:fldCharType="separate"/>
      </w:r>
      <w:r>
        <w:rPr>
          <w:rStyle w:val="30"/>
        </w:rPr>
        <w:t>附  录</w:t>
      </w:r>
      <w:r>
        <w:tab/>
      </w:r>
      <w:r>
        <w:fldChar w:fldCharType="begin"/>
      </w:r>
      <w:r>
        <w:instrText xml:space="preserve"> PAGEREF _Toc122294641 \h </w:instrText>
      </w:r>
      <w:r>
        <w:fldChar w:fldCharType="separate"/>
      </w:r>
      <w:r>
        <w:t>- 43 -</w:t>
      </w:r>
      <w:r>
        <w:fldChar w:fldCharType="end"/>
      </w:r>
      <w:r>
        <w:fldChar w:fldCharType="end"/>
      </w:r>
    </w:p>
    <w:p>
      <w:pPr>
        <w:pStyle w:val="2"/>
        <w:spacing w:after="0" w:line="312" w:lineRule="auto"/>
        <w:sectPr>
          <w:headerReference r:id="rId6" w:type="default"/>
          <w:footerReference r:id="rId7" w:type="default"/>
          <w:pgSz w:w="11906" w:h="16838"/>
          <w:pgMar w:top="1134" w:right="1134" w:bottom="1134" w:left="1701" w:header="851" w:footer="992" w:gutter="0"/>
          <w:pgNumType w:fmt="numberInDash" w:start="1"/>
          <w:cols w:space="0" w:num="1"/>
          <w:docGrid w:linePitch="326" w:charSpace="0"/>
        </w:sectPr>
      </w:pPr>
      <w:r>
        <w:fldChar w:fldCharType="end"/>
      </w:r>
    </w:p>
    <w:p/>
    <w:p>
      <w:pPr>
        <w:pStyle w:val="2"/>
        <w:spacing w:after="0" w:line="312" w:lineRule="auto"/>
        <w:rPr>
          <w:rFonts w:cs="黑体"/>
          <w:sz w:val="28"/>
          <w:szCs w:val="28"/>
        </w:rPr>
      </w:pPr>
      <w:bookmarkStart w:id="0" w:name="_Toc122294611"/>
      <w:r>
        <w:rPr>
          <w:rFonts w:hint="eastAsia" w:cs="黑体"/>
          <w:sz w:val="28"/>
          <w:szCs w:val="28"/>
        </w:rPr>
        <w:t>第一章 总则</w:t>
      </w:r>
      <w:bookmarkEnd w:id="0"/>
    </w:p>
    <w:p>
      <w:pPr>
        <w:pStyle w:val="3"/>
        <w:spacing w:after="0" w:line="312" w:lineRule="auto"/>
        <w:jc w:val="center"/>
        <w:rPr>
          <w:sz w:val="24"/>
          <w:szCs w:val="24"/>
        </w:rPr>
      </w:pPr>
      <w:bookmarkStart w:id="1" w:name="_Toc122294612"/>
      <w:r>
        <w:rPr>
          <w:rFonts w:hint="eastAsia"/>
          <w:sz w:val="24"/>
          <w:szCs w:val="24"/>
        </w:rPr>
        <w:t>第一节 概述</w:t>
      </w:r>
      <w:bookmarkEnd w:id="1"/>
    </w:p>
    <w:p>
      <w:pPr>
        <w:pStyle w:val="51"/>
        <w:spacing w:line="312" w:lineRule="auto"/>
        <w:ind w:firstLine="48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【前言】</w:t>
      </w:r>
    </w:p>
    <w:p>
      <w:pPr>
        <w:spacing w:line="312" w:lineRule="auto"/>
        <w:ind w:firstLine="480" w:firstLineChars="200"/>
        <w:jc w:val="both"/>
        <w:rPr>
          <w:rFonts w:ascii="仿宋" w:hAnsi="仿宋" w:eastAsia="仿宋"/>
        </w:rPr>
      </w:pPr>
      <w:r>
        <w:rPr>
          <w:rFonts w:hint="eastAsia" w:ascii="仿宋" w:hAnsi="仿宋" w:eastAsia="仿宋"/>
        </w:rPr>
        <w:t>由于商业秘密法律业务专业性强，对承办律师的专业实务能力与理论素养要求较高，特别是商业秘密民事诉讼案件，涉及的法律法规与各种规定繁杂，在办理该业务时会存在着诸多法律风险点与难点，为指导、规范浙江省律师办理商业秘密民事诉讼业务</w:t>
      </w:r>
      <w:r>
        <w:rPr>
          <w:rFonts w:hint="eastAsia" w:ascii="仿宋" w:hAnsi="仿宋" w:eastAsia="仿宋"/>
          <w:lang w:eastAsia="zh-Hans"/>
        </w:rPr>
        <w:t>，有效</w:t>
      </w:r>
      <w:r>
        <w:rPr>
          <w:rFonts w:hint="eastAsia" w:ascii="仿宋" w:hAnsi="仿宋" w:eastAsia="仿宋"/>
        </w:rPr>
        <w:t>防范律师执业风险，提高律师从事商业秘密民事诉讼业务的办案水平和法律服务质量，依照现有法律、司法解释的规定，在总结实务经验与理论成果的基础上，</w:t>
      </w:r>
      <w:r>
        <w:rPr>
          <w:rFonts w:ascii="仿宋" w:hAnsi="仿宋" w:eastAsia="仿宋"/>
        </w:rPr>
        <w:t>根据《中华人民共和国律师法》《律师执业管理办法》以及《中华全国律师协会律师执业行为规范》等法律、法规、规章及行为规范的规定，制定本指引</w:t>
      </w:r>
      <w:r>
        <w:rPr>
          <w:rFonts w:hint="eastAsia" w:ascii="仿宋" w:hAnsi="仿宋" w:eastAsia="仿宋"/>
        </w:rPr>
        <w:t>。</w:t>
      </w:r>
    </w:p>
    <w:p>
      <w:pPr>
        <w:spacing w:line="312" w:lineRule="auto"/>
        <w:ind w:firstLine="482" w:firstLineChars="200"/>
        <w:jc w:val="both"/>
        <w:rPr>
          <w:rFonts w:ascii="仿宋" w:hAnsi="仿宋" w:eastAsia="仿宋"/>
        </w:rPr>
      </w:pPr>
      <w:r>
        <w:rPr>
          <w:rFonts w:hint="eastAsia" w:ascii="仿宋" w:hAnsi="仿宋" w:eastAsia="仿宋"/>
          <w:b/>
        </w:rPr>
        <w:t>特别说明：</w:t>
      </w:r>
      <w:r>
        <w:rPr>
          <w:rFonts w:hint="eastAsia" w:ascii="仿宋" w:hAnsi="仿宋" w:eastAsia="仿宋"/>
        </w:rPr>
        <w:t>本操作指引非强制性或规范性规定，仅是律师办理商业秘密民事诉讼业务的参考与提示性文件，不能以此作为判定律师是否尽职合规的依据，更不能作为追究律师责任的依据。</w:t>
      </w:r>
    </w:p>
    <w:p>
      <w:pPr>
        <w:pStyle w:val="51"/>
        <w:spacing w:line="312" w:lineRule="auto"/>
        <w:ind w:firstLine="48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2</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【适用范围与目的】</w:t>
      </w:r>
    </w:p>
    <w:p>
      <w:pPr>
        <w:spacing w:line="312" w:lineRule="auto"/>
        <w:ind w:firstLine="480" w:firstLineChars="200"/>
        <w:rPr>
          <w:rFonts w:ascii="仿宋" w:hAnsi="仿宋" w:eastAsia="仿宋"/>
          <w:b/>
        </w:rPr>
      </w:pPr>
      <w:r>
        <w:rPr>
          <w:rFonts w:hint="eastAsia" w:ascii="仿宋" w:hAnsi="仿宋" w:eastAsia="仿宋"/>
        </w:rPr>
        <w:t>本操作指引旨在指导执业律师、实习律师规范办理商业秘密民事诉讼业务，突破办理该业务时的难点，并同时防范办理该业务时的法律风险。</w:t>
      </w:r>
    </w:p>
    <w:p>
      <w:pPr>
        <w:pStyle w:val="3"/>
        <w:spacing w:after="0" w:line="312" w:lineRule="auto"/>
        <w:jc w:val="center"/>
        <w:rPr>
          <w:sz w:val="24"/>
          <w:szCs w:val="24"/>
        </w:rPr>
      </w:pPr>
      <w:bookmarkStart w:id="2" w:name="_Toc122294613"/>
      <w:r>
        <w:rPr>
          <w:rFonts w:hint="eastAsia"/>
          <w:sz w:val="24"/>
          <w:szCs w:val="24"/>
        </w:rPr>
        <w:t>第二节 商业秘密概念与属性</w:t>
      </w:r>
      <w:bookmarkEnd w:id="2"/>
    </w:p>
    <w:p>
      <w:pPr>
        <w:pStyle w:val="51"/>
        <w:spacing w:line="312" w:lineRule="auto"/>
        <w:ind w:left="562" w:leftChars="234"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3</w:t>
      </w:r>
      <w:r>
        <w:rPr>
          <w:rFonts w:hint="eastAsia" w:ascii="仿宋" w:hAnsi="仿宋" w:eastAsia="仿宋"/>
          <w:b/>
          <w:sz w:val="24"/>
          <w:lang w:eastAsia="zh-Hans"/>
        </w:rPr>
        <w:t>条</w:t>
      </w:r>
      <w:r>
        <w:rPr>
          <w:rFonts w:hint="eastAsia" w:ascii="仿宋" w:hAnsi="仿宋" w:eastAsia="仿宋"/>
          <w:b/>
          <w:sz w:val="24"/>
        </w:rPr>
        <w:t xml:space="preserve"> 【商业秘密的概念】</w:t>
      </w:r>
    </w:p>
    <w:p>
      <w:pPr>
        <w:spacing w:line="312" w:lineRule="auto"/>
        <w:ind w:firstLine="600" w:firstLineChars="250"/>
        <w:rPr>
          <w:rFonts w:ascii="仿宋" w:hAnsi="仿宋" w:eastAsia="仿宋"/>
        </w:rPr>
      </w:pPr>
      <w:r>
        <w:rPr>
          <w:rFonts w:ascii="仿宋" w:hAnsi="仿宋" w:eastAsia="仿宋"/>
        </w:rPr>
        <w:t>商业秘密</w:t>
      </w:r>
      <w:r>
        <w:rPr>
          <w:rFonts w:hint="eastAsia" w:ascii="仿宋" w:hAnsi="仿宋" w:eastAsia="仿宋"/>
        </w:rPr>
        <w:t>是指不为公众所知悉、具有商业价值并经权利人采取相应保密措施的技术信息、经营信息等商业信息。</w:t>
      </w:r>
    </w:p>
    <w:p>
      <w:pPr>
        <w:spacing w:line="312" w:lineRule="auto"/>
        <w:ind w:firstLine="482" w:firstLineChars="200"/>
        <w:rPr>
          <w:rFonts w:ascii="仿宋" w:hAnsi="仿宋" w:eastAsia="仿宋"/>
        </w:rPr>
      </w:pPr>
      <w:r>
        <w:rPr>
          <w:rFonts w:hint="eastAsia" w:ascii="仿宋" w:hAnsi="仿宋" w:eastAsia="仿宋"/>
          <w:b/>
        </w:rPr>
        <w:t>【法律规定】</w:t>
      </w:r>
      <w:r>
        <w:rPr>
          <w:rFonts w:hint="eastAsia" w:ascii="仿宋" w:hAnsi="仿宋" w:eastAsia="仿宋"/>
        </w:rPr>
        <w:t>《反不正当竞争法》第九条</w:t>
      </w:r>
    </w:p>
    <w:p>
      <w:pPr>
        <w:pStyle w:val="51"/>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4</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【商业秘密属性】</w:t>
      </w:r>
    </w:p>
    <w:p>
      <w:pPr>
        <w:spacing w:line="312" w:lineRule="auto"/>
        <w:ind w:firstLine="482" w:firstLineChars="200"/>
        <w:rPr>
          <w:rFonts w:ascii="仿宋" w:hAnsi="仿宋" w:eastAsia="仿宋"/>
          <w:b/>
        </w:rPr>
      </w:pPr>
      <w:r>
        <w:rPr>
          <w:rFonts w:ascii="仿宋" w:hAnsi="仿宋" w:eastAsia="仿宋"/>
          <w:b/>
        </w:rPr>
        <w:t>4.1</w:t>
      </w:r>
      <w:r>
        <w:rPr>
          <w:rFonts w:hint="eastAsia" w:ascii="仿宋" w:hAnsi="仿宋" w:eastAsia="仿宋"/>
          <w:b/>
        </w:rPr>
        <w:t>《民法典》第一百二十三条已明确将商业秘密作为知识产权的客体。</w:t>
      </w:r>
    </w:p>
    <w:p>
      <w:pPr>
        <w:spacing w:line="312" w:lineRule="auto"/>
        <w:ind w:firstLine="482" w:firstLineChars="200"/>
        <w:rPr>
          <w:rFonts w:ascii="仿宋" w:hAnsi="仿宋" w:eastAsia="仿宋"/>
        </w:rPr>
      </w:pPr>
      <w:r>
        <w:rPr>
          <w:rFonts w:hint="eastAsia" w:ascii="仿宋" w:hAnsi="仿宋" w:eastAsia="仿宋"/>
          <w:b/>
        </w:rPr>
        <w:t>【法律规定】</w:t>
      </w:r>
      <w:r>
        <w:rPr>
          <w:rFonts w:hint="eastAsia" w:ascii="仿宋" w:hAnsi="仿宋" w:eastAsia="仿宋"/>
        </w:rPr>
        <w:t>《民法典》第一百二十三条、</w:t>
      </w:r>
      <w:bookmarkStart w:id="3" w:name="501"/>
      <w:r>
        <w:rPr>
          <w:rFonts w:ascii="仿宋" w:hAnsi="仿宋" w:eastAsia="仿宋"/>
        </w:rPr>
        <w:t>第五百零一条</w:t>
      </w:r>
      <w:bookmarkEnd w:id="3"/>
      <w:r>
        <w:rPr>
          <w:rFonts w:hint="eastAsia" w:ascii="仿宋" w:hAnsi="仿宋" w:eastAsia="仿宋"/>
        </w:rPr>
        <w:t>、</w:t>
      </w:r>
      <w:bookmarkStart w:id="4" w:name="509"/>
      <w:r>
        <w:rPr>
          <w:rFonts w:ascii="仿宋" w:hAnsi="仿宋" w:eastAsia="仿宋"/>
        </w:rPr>
        <w:t>第五百零九条</w:t>
      </w:r>
      <w:bookmarkEnd w:id="4"/>
      <w:r>
        <w:rPr>
          <w:rFonts w:hint="eastAsia" w:ascii="仿宋" w:hAnsi="仿宋" w:eastAsia="仿宋"/>
        </w:rPr>
        <w:t>、</w:t>
      </w:r>
      <w:bookmarkStart w:id="5" w:name="558"/>
      <w:r>
        <w:rPr>
          <w:rFonts w:ascii="仿宋" w:hAnsi="仿宋" w:eastAsia="仿宋"/>
        </w:rPr>
        <w:t>第五百五十八条</w:t>
      </w:r>
      <w:bookmarkEnd w:id="5"/>
      <w:r>
        <w:rPr>
          <w:rFonts w:hint="eastAsia" w:ascii="仿宋" w:hAnsi="仿宋" w:eastAsia="仿宋"/>
        </w:rPr>
        <w:t>、</w:t>
      </w:r>
      <w:bookmarkStart w:id="6" w:name="845"/>
      <w:r>
        <w:rPr>
          <w:rFonts w:ascii="仿宋" w:hAnsi="仿宋" w:eastAsia="仿宋"/>
        </w:rPr>
        <w:t>第八百四十五条</w:t>
      </w:r>
      <w:bookmarkEnd w:id="6"/>
      <w:r>
        <w:rPr>
          <w:rFonts w:hint="eastAsia" w:ascii="仿宋" w:hAnsi="仿宋" w:eastAsia="仿宋"/>
        </w:rPr>
        <w:t>、</w:t>
      </w:r>
      <w:bookmarkStart w:id="7" w:name="868"/>
      <w:r>
        <w:rPr>
          <w:rFonts w:hint="eastAsia" w:ascii="仿宋" w:hAnsi="仿宋" w:eastAsia="仿宋"/>
        </w:rPr>
        <w:t>第八百六十八条</w:t>
      </w:r>
      <w:bookmarkEnd w:id="7"/>
      <w:r>
        <w:rPr>
          <w:rFonts w:hint="eastAsia" w:ascii="仿宋" w:hAnsi="仿宋" w:eastAsia="仿宋"/>
        </w:rPr>
        <w:t>、</w:t>
      </w:r>
      <w:bookmarkStart w:id="8" w:name="869"/>
      <w:bookmarkStart w:id="9" w:name="871"/>
      <w:r>
        <w:rPr>
          <w:rFonts w:hint="eastAsia" w:ascii="仿宋" w:hAnsi="仿宋" w:eastAsia="仿宋"/>
        </w:rPr>
        <w:t>第八百六十九条</w:t>
      </w:r>
      <w:bookmarkEnd w:id="8"/>
      <w:r>
        <w:rPr>
          <w:rFonts w:hint="eastAsia" w:ascii="仿宋" w:hAnsi="仿宋" w:eastAsia="仿宋"/>
        </w:rPr>
        <w:t>、</w:t>
      </w:r>
      <w:r>
        <w:rPr>
          <w:rFonts w:ascii="仿宋" w:hAnsi="仿宋" w:eastAsia="仿宋"/>
        </w:rPr>
        <w:t>八百七十一条</w:t>
      </w:r>
      <w:bookmarkEnd w:id="9"/>
      <w:r>
        <w:rPr>
          <w:rFonts w:hint="eastAsia" w:ascii="仿宋" w:hAnsi="仿宋" w:eastAsia="仿宋"/>
        </w:rPr>
        <w:t>、</w:t>
      </w:r>
      <w:bookmarkStart w:id="10" w:name="872"/>
      <w:r>
        <w:rPr>
          <w:rFonts w:hint="eastAsia" w:ascii="仿宋" w:hAnsi="仿宋" w:eastAsia="仿宋"/>
        </w:rPr>
        <w:t>第八百七十二条</w:t>
      </w:r>
      <w:bookmarkEnd w:id="10"/>
      <w:r>
        <w:rPr>
          <w:rFonts w:hint="eastAsia" w:ascii="仿宋" w:hAnsi="仿宋" w:eastAsia="仿宋"/>
        </w:rPr>
        <w:t>、</w:t>
      </w:r>
      <w:bookmarkStart w:id="11" w:name="873"/>
      <w:r>
        <w:rPr>
          <w:rFonts w:ascii="仿宋" w:hAnsi="仿宋" w:eastAsia="仿宋"/>
        </w:rPr>
        <w:t>第八百七十三条</w:t>
      </w:r>
      <w:bookmarkEnd w:id="11"/>
    </w:p>
    <w:p>
      <w:pPr>
        <w:spacing w:line="312" w:lineRule="auto"/>
        <w:ind w:firstLine="480" w:firstLineChars="200"/>
        <w:rPr>
          <w:rFonts w:ascii="仿宋" w:hAnsi="仿宋" w:eastAsia="仿宋"/>
          <w:bCs/>
        </w:rPr>
      </w:pPr>
      <w:r>
        <w:rPr>
          <w:rFonts w:ascii="仿宋" w:hAnsi="仿宋" w:eastAsia="仿宋"/>
          <w:bCs/>
        </w:rPr>
        <w:t xml:space="preserve">4.2 </w:t>
      </w:r>
      <w:r>
        <w:rPr>
          <w:rFonts w:hint="eastAsia" w:ascii="仿宋" w:hAnsi="仿宋" w:eastAsia="仿宋"/>
          <w:bCs/>
        </w:rPr>
        <w:t>商业秘密与国家秘密的关系</w:t>
      </w:r>
    </w:p>
    <w:p>
      <w:pPr>
        <w:spacing w:line="312" w:lineRule="auto"/>
        <w:ind w:firstLine="480" w:firstLineChars="200"/>
        <w:rPr>
          <w:rFonts w:ascii="仿宋" w:hAnsi="仿宋" w:eastAsia="仿宋"/>
        </w:rPr>
      </w:pPr>
      <w:r>
        <w:rPr>
          <w:rFonts w:hint="eastAsia" w:ascii="仿宋" w:hAnsi="仿宋" w:eastAsia="仿宋"/>
        </w:rPr>
        <w:t>国家秘密是关系国家安全与国家利益依照法定程序确定，在一定时间内只限一定范围的人员知悉的事项。国家秘密与商业秘密有共同的特性，也存在诸多不同点。</w:t>
      </w:r>
    </w:p>
    <w:p>
      <w:pPr>
        <w:spacing w:line="312" w:lineRule="auto"/>
        <w:ind w:firstLine="424" w:firstLineChars="177"/>
        <w:rPr>
          <w:rFonts w:ascii="仿宋" w:hAnsi="仿宋" w:eastAsia="仿宋"/>
        </w:rPr>
      </w:pPr>
      <w:r>
        <w:rPr>
          <w:rFonts w:hint="eastAsia" w:ascii="仿宋" w:hAnsi="仿宋" w:eastAsia="仿宋"/>
        </w:rPr>
        <w:t>商业秘密可以不设保密期限，在采取有效保密措施的前提下，作为商业秘密的信息可以永久受到保护。而国家秘密的保密期限，则应当根据保密事项的性质和特点，按照维护国家安全和利益的需要，限定在必要的期限内；不能确定期限的，应当确定解密的条件。</w:t>
      </w:r>
    </w:p>
    <w:p>
      <w:pPr>
        <w:pStyle w:val="3"/>
        <w:spacing w:after="0" w:line="312" w:lineRule="auto"/>
        <w:jc w:val="center"/>
        <w:rPr>
          <w:sz w:val="24"/>
          <w:szCs w:val="24"/>
        </w:rPr>
      </w:pPr>
      <w:bookmarkStart w:id="12" w:name="_Toc122294614"/>
      <w:r>
        <w:rPr>
          <w:rFonts w:hint="eastAsia"/>
          <w:sz w:val="24"/>
          <w:szCs w:val="24"/>
        </w:rPr>
        <w:t>第三节 商业秘密与其他知识产权</w:t>
      </w:r>
      <w:bookmarkEnd w:id="12"/>
    </w:p>
    <w:p>
      <w:pPr>
        <w:pStyle w:val="51"/>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5</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【商业秘密与专利权】</w:t>
      </w:r>
    </w:p>
    <w:p>
      <w:pPr>
        <w:spacing w:line="312" w:lineRule="auto"/>
        <w:ind w:firstLine="480" w:firstLineChars="200"/>
        <w:rPr>
          <w:rFonts w:ascii="仿宋" w:hAnsi="仿宋" w:eastAsia="仿宋"/>
          <w:bCs/>
        </w:rPr>
      </w:pPr>
      <w:r>
        <w:rPr>
          <w:rFonts w:ascii="仿宋" w:hAnsi="仿宋" w:eastAsia="仿宋"/>
          <w:bCs/>
        </w:rPr>
        <w:t>5.1　商业秘密与专利</w:t>
      </w:r>
      <w:r>
        <w:rPr>
          <w:rFonts w:hint="eastAsia" w:ascii="仿宋" w:hAnsi="仿宋" w:eastAsia="仿宋"/>
          <w:bCs/>
        </w:rPr>
        <w:t>权对技术成果的共同保护</w:t>
      </w:r>
    </w:p>
    <w:p>
      <w:pPr>
        <w:spacing w:line="312" w:lineRule="auto"/>
        <w:ind w:firstLine="283" w:firstLineChars="118"/>
        <w:rPr>
          <w:rFonts w:ascii="仿宋" w:hAnsi="仿宋" w:eastAsia="仿宋"/>
        </w:rPr>
      </w:pPr>
      <w:r>
        <w:rPr>
          <w:rFonts w:hint="eastAsia" w:ascii="仿宋" w:hAnsi="仿宋" w:eastAsia="仿宋"/>
        </w:rPr>
        <w:t>（1）</w:t>
      </w:r>
      <w:r>
        <w:rPr>
          <w:rFonts w:ascii="仿宋" w:hAnsi="仿宋" w:eastAsia="仿宋"/>
        </w:rPr>
        <w:t xml:space="preserve"> 一项技术或者若干项相关联的技术可以将部分内容申请专利，部分内容作为商业秘密加以保护</w:t>
      </w:r>
      <w:r>
        <w:rPr>
          <w:rFonts w:hint="eastAsia" w:ascii="仿宋" w:hAnsi="仿宋" w:eastAsia="仿宋"/>
        </w:rPr>
        <w:t>；</w:t>
      </w:r>
    </w:p>
    <w:p>
      <w:pPr>
        <w:spacing w:line="312" w:lineRule="auto"/>
        <w:ind w:firstLine="283" w:firstLineChars="118"/>
        <w:rPr>
          <w:rFonts w:ascii="仿宋" w:hAnsi="仿宋" w:eastAsia="仿宋"/>
        </w:rPr>
      </w:pPr>
      <w:r>
        <w:rPr>
          <w:rFonts w:hint="eastAsia" w:ascii="仿宋" w:hAnsi="仿宋" w:eastAsia="仿宋"/>
        </w:rPr>
        <w:t>（2）</w:t>
      </w:r>
      <w:r>
        <w:rPr>
          <w:rFonts w:ascii="仿宋" w:hAnsi="仿宋" w:eastAsia="仿宋"/>
        </w:rPr>
        <w:t xml:space="preserve"> 一项技术在申请专利前或未公开之前</w:t>
      </w:r>
      <w:r>
        <w:rPr>
          <w:rFonts w:hint="eastAsia" w:ascii="仿宋" w:hAnsi="仿宋" w:eastAsia="仿宋"/>
        </w:rPr>
        <w:t>可以</w:t>
      </w:r>
      <w:r>
        <w:rPr>
          <w:rFonts w:ascii="仿宋" w:hAnsi="仿宋" w:eastAsia="仿宋"/>
        </w:rPr>
        <w:t>作为商业秘密加以保护。</w:t>
      </w:r>
    </w:p>
    <w:p>
      <w:pPr>
        <w:spacing w:line="312" w:lineRule="auto"/>
        <w:ind w:firstLine="480" w:firstLineChars="200"/>
        <w:rPr>
          <w:rFonts w:ascii="仿宋" w:hAnsi="仿宋" w:eastAsia="仿宋"/>
          <w:bCs/>
        </w:rPr>
      </w:pPr>
      <w:r>
        <w:rPr>
          <w:rFonts w:ascii="仿宋" w:hAnsi="仿宋" w:eastAsia="仿宋"/>
          <w:bCs/>
        </w:rPr>
        <w:t xml:space="preserve">5.2  </w:t>
      </w:r>
      <w:r>
        <w:rPr>
          <w:rFonts w:hint="eastAsia" w:ascii="仿宋" w:hAnsi="仿宋" w:eastAsia="仿宋"/>
          <w:bCs/>
        </w:rPr>
        <w:t>商业秘密与专利权的主要区别</w:t>
      </w:r>
    </w:p>
    <w:p>
      <w:pPr>
        <w:pStyle w:val="51"/>
        <w:spacing w:line="312" w:lineRule="auto"/>
        <w:ind w:firstLineChars="0"/>
        <w:rPr>
          <w:rFonts w:ascii="仿宋" w:hAnsi="仿宋" w:eastAsia="仿宋"/>
          <w:sz w:val="24"/>
        </w:rPr>
      </w:pPr>
      <w:r>
        <w:rPr>
          <w:rFonts w:hint="eastAsia" w:ascii="仿宋" w:hAnsi="仿宋" w:eastAsia="仿宋"/>
          <w:sz w:val="24"/>
        </w:rPr>
        <w:t>（1）权利</w:t>
      </w:r>
      <w:r>
        <w:rPr>
          <w:rFonts w:ascii="仿宋" w:hAnsi="仿宋" w:eastAsia="仿宋"/>
          <w:sz w:val="24"/>
        </w:rPr>
        <w:t>取得方式不同</w:t>
      </w:r>
    </w:p>
    <w:p>
      <w:pPr>
        <w:tabs>
          <w:tab w:val="left" w:pos="426"/>
        </w:tabs>
        <w:spacing w:line="312" w:lineRule="auto"/>
        <w:ind w:firstLine="283" w:firstLineChars="118"/>
        <w:rPr>
          <w:rFonts w:ascii="仿宋" w:hAnsi="仿宋" w:eastAsia="仿宋"/>
        </w:rPr>
      </w:pPr>
      <w:r>
        <w:rPr>
          <w:rFonts w:hint="eastAsia" w:ascii="仿宋" w:hAnsi="仿宋" w:eastAsia="仿宋"/>
        </w:rPr>
        <w:t xml:space="preserve"> </w:t>
      </w:r>
      <w:r>
        <w:rPr>
          <w:rFonts w:ascii="仿宋" w:hAnsi="仿宋" w:eastAsia="仿宋"/>
        </w:rPr>
        <w:t>专利权是以技术公开为代价，并</w:t>
      </w:r>
      <w:r>
        <w:rPr>
          <w:rFonts w:hint="eastAsia" w:ascii="仿宋" w:hAnsi="仿宋" w:eastAsia="仿宋"/>
        </w:rPr>
        <w:t>须通</w:t>
      </w:r>
      <w:r>
        <w:rPr>
          <w:rFonts w:ascii="仿宋" w:hAnsi="仿宋" w:eastAsia="仿宋"/>
        </w:rPr>
        <w:t>过法定程序</w:t>
      </w:r>
      <w:r>
        <w:rPr>
          <w:rFonts w:hint="eastAsia" w:ascii="仿宋" w:hAnsi="仿宋" w:eastAsia="仿宋"/>
        </w:rPr>
        <w:t>的</w:t>
      </w:r>
      <w:r>
        <w:rPr>
          <w:rFonts w:ascii="仿宋" w:hAnsi="仿宋" w:eastAsia="仿宋"/>
        </w:rPr>
        <w:t>审查</w:t>
      </w:r>
      <w:r>
        <w:rPr>
          <w:rFonts w:hint="eastAsia" w:ascii="仿宋" w:hAnsi="仿宋" w:eastAsia="仿宋"/>
        </w:rPr>
        <w:t>而</w:t>
      </w:r>
      <w:r>
        <w:rPr>
          <w:rFonts w:ascii="仿宋" w:hAnsi="仿宋" w:eastAsia="仿宋"/>
        </w:rPr>
        <w:t>获得；商业秘密</w:t>
      </w:r>
      <w:r>
        <w:rPr>
          <w:rFonts w:hint="eastAsia" w:ascii="仿宋" w:hAnsi="仿宋" w:eastAsia="仿宋"/>
        </w:rPr>
        <w:t>则</w:t>
      </w:r>
      <w:r>
        <w:rPr>
          <w:rFonts w:ascii="仿宋" w:hAnsi="仿宋" w:eastAsia="仿宋"/>
        </w:rPr>
        <w:t>是自主产生或者合法受让获得。</w:t>
      </w:r>
    </w:p>
    <w:p>
      <w:pPr>
        <w:pStyle w:val="51"/>
        <w:spacing w:line="312" w:lineRule="auto"/>
        <w:ind w:firstLineChars="0"/>
        <w:rPr>
          <w:rFonts w:ascii="仿宋" w:hAnsi="仿宋" w:eastAsia="仿宋"/>
          <w:sz w:val="24"/>
        </w:rPr>
      </w:pPr>
      <w:r>
        <w:rPr>
          <w:rFonts w:hint="eastAsia" w:ascii="仿宋" w:hAnsi="仿宋" w:eastAsia="仿宋"/>
          <w:sz w:val="24"/>
        </w:rPr>
        <w:t>（2）范围与</w:t>
      </w:r>
      <w:r>
        <w:rPr>
          <w:rFonts w:ascii="仿宋" w:hAnsi="仿宋" w:eastAsia="仿宋"/>
          <w:sz w:val="24"/>
        </w:rPr>
        <w:t>保护客体不同</w:t>
      </w:r>
    </w:p>
    <w:p>
      <w:pPr>
        <w:spacing w:line="312" w:lineRule="auto"/>
        <w:ind w:firstLine="283" w:firstLineChars="118"/>
        <w:rPr>
          <w:rFonts w:ascii="仿宋" w:hAnsi="仿宋" w:eastAsia="仿宋"/>
        </w:rPr>
      </w:pPr>
      <w:r>
        <w:rPr>
          <w:rFonts w:hint="eastAsia" w:ascii="仿宋" w:hAnsi="仿宋" w:eastAsia="仿宋"/>
        </w:rPr>
        <w:t xml:space="preserve"> </w:t>
      </w:r>
      <w:r>
        <w:rPr>
          <w:rFonts w:ascii="仿宋" w:hAnsi="仿宋" w:eastAsia="仿宋"/>
        </w:rPr>
        <w:t xml:space="preserve"> </w:t>
      </w:r>
      <w:r>
        <w:rPr>
          <w:rFonts w:hint="eastAsia" w:ascii="仿宋" w:hAnsi="仿宋" w:eastAsia="仿宋"/>
        </w:rPr>
        <w:t>专利法所规定</w:t>
      </w:r>
      <w:r>
        <w:rPr>
          <w:rFonts w:ascii="仿宋" w:hAnsi="仿宋" w:eastAsia="仿宋"/>
        </w:rPr>
        <w:t>的</w:t>
      </w:r>
      <w:r>
        <w:rPr>
          <w:rFonts w:hint="eastAsia" w:ascii="仿宋" w:hAnsi="仿宋" w:eastAsia="仿宋"/>
        </w:rPr>
        <w:t>可以申请专利的类型是发明专利、实用新型专利与外观设计专利这三种类型，发明与实用新型专利所保护的是技术方案，外观设计专利保护的是工业应用的新设计</w:t>
      </w:r>
      <w:r>
        <w:rPr>
          <w:rFonts w:ascii="仿宋" w:hAnsi="仿宋" w:eastAsia="仿宋"/>
        </w:rPr>
        <w:t>；</w:t>
      </w:r>
      <w:r>
        <w:rPr>
          <w:rFonts w:hint="eastAsia" w:ascii="仿宋" w:hAnsi="仿宋" w:eastAsia="仿宋"/>
        </w:rPr>
        <w:t>而</w:t>
      </w:r>
      <w:r>
        <w:rPr>
          <w:rFonts w:ascii="仿宋" w:hAnsi="仿宋" w:eastAsia="仿宋"/>
        </w:rPr>
        <w:t>商业秘密包括技术信息</w:t>
      </w:r>
      <w:r>
        <w:rPr>
          <w:rFonts w:hint="eastAsia" w:ascii="仿宋" w:hAnsi="仿宋" w:eastAsia="仿宋"/>
        </w:rPr>
        <w:t>、</w:t>
      </w:r>
      <w:r>
        <w:rPr>
          <w:rFonts w:ascii="仿宋" w:hAnsi="仿宋" w:eastAsia="仿宋"/>
        </w:rPr>
        <w:t>经营信息</w:t>
      </w:r>
      <w:r>
        <w:rPr>
          <w:rFonts w:hint="eastAsia" w:ascii="仿宋" w:hAnsi="仿宋" w:eastAsia="仿宋"/>
        </w:rPr>
        <w:t>等商业信息，保护的是符合商业秘密构成要件的包括技术方案与工业设计在内的各种商业信息，商业秘密的范围相对更为宽泛。</w:t>
      </w:r>
    </w:p>
    <w:p>
      <w:pPr>
        <w:pStyle w:val="51"/>
        <w:spacing w:line="312" w:lineRule="auto"/>
        <w:ind w:firstLineChars="0"/>
        <w:rPr>
          <w:rFonts w:ascii="仿宋" w:hAnsi="仿宋" w:eastAsia="仿宋"/>
          <w:sz w:val="24"/>
        </w:rPr>
      </w:pPr>
      <w:r>
        <w:rPr>
          <w:rFonts w:hint="eastAsia" w:ascii="仿宋" w:hAnsi="仿宋" w:eastAsia="仿宋"/>
          <w:sz w:val="24"/>
        </w:rPr>
        <w:t>（3）权利</w:t>
      </w:r>
      <w:r>
        <w:rPr>
          <w:rFonts w:ascii="仿宋" w:hAnsi="仿宋" w:eastAsia="仿宋"/>
          <w:sz w:val="24"/>
        </w:rPr>
        <w:t>要求不同</w:t>
      </w:r>
    </w:p>
    <w:p>
      <w:pPr>
        <w:spacing w:line="312" w:lineRule="auto"/>
        <w:ind w:firstLine="480" w:firstLineChars="200"/>
        <w:rPr>
          <w:rFonts w:ascii="仿宋" w:hAnsi="仿宋" w:eastAsia="仿宋"/>
        </w:rPr>
      </w:pPr>
      <w:r>
        <w:rPr>
          <w:rFonts w:hint="eastAsia" w:ascii="仿宋" w:hAnsi="仿宋" w:eastAsia="仿宋"/>
        </w:rPr>
        <w:t>申请</w:t>
      </w:r>
      <w:r>
        <w:rPr>
          <w:rFonts w:ascii="仿宋" w:hAnsi="仿宋" w:eastAsia="仿宋"/>
        </w:rPr>
        <w:t>发明和实用新型</w:t>
      </w:r>
      <w:r>
        <w:rPr>
          <w:rFonts w:hint="eastAsia" w:ascii="仿宋" w:hAnsi="仿宋" w:eastAsia="仿宋"/>
        </w:rPr>
        <w:t>专利</w:t>
      </w:r>
      <w:r>
        <w:rPr>
          <w:rFonts w:ascii="仿宋" w:hAnsi="仿宋" w:eastAsia="仿宋"/>
        </w:rPr>
        <w:t>，应当具备新颖性、创造性和实用性</w:t>
      </w:r>
      <w:r>
        <w:rPr>
          <w:rFonts w:hint="eastAsia" w:ascii="仿宋" w:hAnsi="仿宋" w:eastAsia="仿宋"/>
        </w:rPr>
        <w:t>，外观设计要富有美感并适于工业应用，且不属于现有设计</w:t>
      </w:r>
      <w:r>
        <w:rPr>
          <w:rFonts w:ascii="仿宋" w:hAnsi="仿宋" w:eastAsia="仿宋"/>
        </w:rPr>
        <w:t>；商业秘密</w:t>
      </w:r>
      <w:r>
        <w:rPr>
          <w:rFonts w:hint="eastAsia" w:ascii="仿宋" w:hAnsi="仿宋" w:eastAsia="仿宋"/>
        </w:rPr>
        <w:t>则</w:t>
      </w:r>
      <w:r>
        <w:rPr>
          <w:rFonts w:ascii="仿宋" w:hAnsi="仿宋" w:eastAsia="仿宋"/>
        </w:rPr>
        <w:t>要求</w:t>
      </w:r>
      <w:r>
        <w:rPr>
          <w:rFonts w:hint="eastAsia" w:ascii="仿宋" w:hAnsi="仿宋" w:eastAsia="仿宋"/>
        </w:rPr>
        <w:t>不为所属领域的相关人员普遍知悉和容易获得。</w:t>
      </w:r>
    </w:p>
    <w:p>
      <w:pPr>
        <w:pStyle w:val="51"/>
        <w:spacing w:line="312" w:lineRule="auto"/>
        <w:ind w:firstLineChars="0"/>
        <w:rPr>
          <w:rFonts w:ascii="仿宋" w:hAnsi="仿宋" w:eastAsia="仿宋"/>
          <w:sz w:val="24"/>
        </w:rPr>
      </w:pPr>
      <w:r>
        <w:rPr>
          <w:rFonts w:hint="eastAsia" w:ascii="仿宋" w:hAnsi="仿宋" w:eastAsia="仿宋"/>
          <w:sz w:val="24"/>
        </w:rPr>
        <w:t>（4）权利形式不同</w:t>
      </w:r>
    </w:p>
    <w:p>
      <w:pPr>
        <w:spacing w:line="312" w:lineRule="auto"/>
        <w:ind w:firstLine="480" w:firstLineChars="200"/>
        <w:rPr>
          <w:rFonts w:ascii="仿宋" w:hAnsi="仿宋" w:eastAsia="仿宋"/>
        </w:rPr>
      </w:pPr>
      <w:r>
        <w:rPr>
          <w:rFonts w:ascii="仿宋" w:hAnsi="仿宋" w:eastAsia="仿宋"/>
        </w:rPr>
        <w:t>专利权</w:t>
      </w:r>
      <w:r>
        <w:rPr>
          <w:rFonts w:hint="eastAsia" w:ascii="仿宋" w:hAnsi="仿宋" w:eastAsia="仿宋"/>
        </w:rPr>
        <w:t>在国家机关登记并作公示，具</w:t>
      </w:r>
      <w:r>
        <w:rPr>
          <w:rFonts w:ascii="仿宋" w:hAnsi="仿宋" w:eastAsia="仿宋"/>
        </w:rPr>
        <w:t>有独占性；</w:t>
      </w:r>
      <w:r>
        <w:rPr>
          <w:rFonts w:hint="eastAsia" w:ascii="仿宋" w:hAnsi="仿宋" w:eastAsia="仿宋"/>
        </w:rPr>
        <w:t>而</w:t>
      </w:r>
      <w:r>
        <w:rPr>
          <w:rFonts w:ascii="仿宋" w:hAnsi="仿宋" w:eastAsia="仿宋"/>
        </w:rPr>
        <w:t>商业秘密</w:t>
      </w:r>
      <w:r>
        <w:rPr>
          <w:rFonts w:hint="eastAsia" w:ascii="仿宋" w:hAnsi="仿宋" w:eastAsia="仿宋"/>
        </w:rPr>
        <w:t>是非登记的，且不能公示，商业秘密的权利具</w:t>
      </w:r>
      <w:r>
        <w:rPr>
          <w:rFonts w:ascii="仿宋" w:hAnsi="仿宋" w:eastAsia="仿宋"/>
        </w:rPr>
        <w:t>有相对性，</w:t>
      </w:r>
      <w:r>
        <w:rPr>
          <w:rFonts w:hint="eastAsia" w:ascii="仿宋" w:hAnsi="仿宋" w:eastAsia="仿宋"/>
        </w:rPr>
        <w:t>并</w:t>
      </w:r>
      <w:r>
        <w:rPr>
          <w:rFonts w:ascii="仿宋" w:hAnsi="仿宋" w:eastAsia="仿宋"/>
        </w:rPr>
        <w:t>不能排斥他人</w:t>
      </w:r>
      <w:r>
        <w:rPr>
          <w:rFonts w:hint="eastAsia" w:ascii="仿宋" w:hAnsi="仿宋" w:eastAsia="仿宋"/>
        </w:rPr>
        <w:t>通过其他</w:t>
      </w:r>
      <w:r>
        <w:rPr>
          <w:rFonts w:ascii="仿宋" w:hAnsi="仿宋" w:eastAsia="仿宋"/>
        </w:rPr>
        <w:t>合法</w:t>
      </w:r>
      <w:r>
        <w:rPr>
          <w:rFonts w:hint="eastAsia" w:ascii="仿宋" w:hAnsi="仿宋" w:eastAsia="仿宋"/>
        </w:rPr>
        <w:t>方式而</w:t>
      </w:r>
      <w:r>
        <w:rPr>
          <w:rFonts w:ascii="仿宋" w:hAnsi="仿宋" w:eastAsia="仿宋"/>
        </w:rPr>
        <w:t>取得并加以实施或利用。</w:t>
      </w:r>
    </w:p>
    <w:p>
      <w:pPr>
        <w:pStyle w:val="51"/>
        <w:spacing w:line="312" w:lineRule="auto"/>
        <w:ind w:firstLineChars="0"/>
        <w:rPr>
          <w:rFonts w:ascii="仿宋" w:hAnsi="仿宋" w:eastAsia="仿宋"/>
          <w:sz w:val="24"/>
        </w:rPr>
      </w:pPr>
      <w:r>
        <w:rPr>
          <w:rFonts w:hint="eastAsia" w:ascii="仿宋" w:hAnsi="仿宋" w:eastAsia="仿宋"/>
          <w:sz w:val="24"/>
        </w:rPr>
        <w:t>（5）权利状态不同</w:t>
      </w:r>
    </w:p>
    <w:p>
      <w:pPr>
        <w:spacing w:line="312" w:lineRule="auto"/>
        <w:ind w:firstLine="480" w:firstLineChars="200"/>
        <w:rPr>
          <w:rFonts w:ascii="仿宋" w:hAnsi="仿宋" w:eastAsia="仿宋"/>
        </w:rPr>
      </w:pPr>
      <w:r>
        <w:rPr>
          <w:rFonts w:ascii="仿宋" w:hAnsi="仿宋" w:eastAsia="仿宋"/>
        </w:rPr>
        <w:t>专利权</w:t>
      </w:r>
      <w:r>
        <w:rPr>
          <w:rFonts w:hint="eastAsia" w:ascii="仿宋" w:hAnsi="仿宋" w:eastAsia="仿宋"/>
        </w:rPr>
        <w:t>技术不能因反向工程而合法使用，专利权无效宣告前，也不因非法定因素而丧失；</w:t>
      </w:r>
      <w:r>
        <w:rPr>
          <w:rFonts w:ascii="仿宋" w:hAnsi="仿宋" w:eastAsia="仿宋"/>
        </w:rPr>
        <w:t>而商业秘密则</w:t>
      </w:r>
      <w:r>
        <w:rPr>
          <w:rFonts w:hint="eastAsia" w:ascii="仿宋" w:hAnsi="仿宋" w:eastAsia="仿宋"/>
        </w:rPr>
        <w:t>会因被</w:t>
      </w:r>
      <w:r>
        <w:rPr>
          <w:rFonts w:ascii="仿宋" w:hAnsi="仿宋" w:eastAsia="仿宋"/>
        </w:rPr>
        <w:t>公开</w:t>
      </w:r>
      <w:r>
        <w:rPr>
          <w:rFonts w:hint="eastAsia" w:ascii="仿宋" w:hAnsi="仿宋" w:eastAsia="仿宋"/>
        </w:rPr>
        <w:t>而</w:t>
      </w:r>
      <w:r>
        <w:rPr>
          <w:rFonts w:ascii="仿宋" w:hAnsi="仿宋" w:eastAsia="仿宋"/>
        </w:rPr>
        <w:t>丧失</w:t>
      </w:r>
      <w:r>
        <w:rPr>
          <w:rFonts w:hint="eastAsia" w:ascii="仿宋" w:hAnsi="仿宋" w:eastAsia="仿宋"/>
        </w:rPr>
        <w:t>秘密性，从而丧失相应权利，而且，他人通过反向工程合法取得产品技术信息的，不认定为侵犯商业秘密。</w:t>
      </w:r>
    </w:p>
    <w:p>
      <w:pPr>
        <w:pStyle w:val="51"/>
        <w:spacing w:line="312" w:lineRule="auto"/>
        <w:ind w:firstLineChars="0"/>
        <w:rPr>
          <w:rFonts w:ascii="仿宋" w:hAnsi="仿宋" w:eastAsia="仿宋"/>
          <w:sz w:val="24"/>
        </w:rPr>
      </w:pPr>
      <w:r>
        <w:rPr>
          <w:rFonts w:hint="eastAsia" w:ascii="仿宋" w:hAnsi="仿宋" w:eastAsia="仿宋"/>
          <w:sz w:val="24"/>
        </w:rPr>
        <w:t>（6）</w:t>
      </w:r>
      <w:r>
        <w:rPr>
          <w:rFonts w:ascii="仿宋" w:hAnsi="仿宋" w:eastAsia="仿宋"/>
          <w:sz w:val="24"/>
        </w:rPr>
        <w:t>保护期限不同</w:t>
      </w:r>
    </w:p>
    <w:p>
      <w:pPr>
        <w:spacing w:line="312" w:lineRule="auto"/>
        <w:ind w:firstLine="360" w:firstLineChars="150"/>
        <w:rPr>
          <w:rFonts w:ascii="仿宋" w:hAnsi="仿宋" w:eastAsia="仿宋"/>
        </w:rPr>
      </w:pPr>
      <w:r>
        <w:rPr>
          <w:rFonts w:hint="eastAsia" w:ascii="仿宋" w:hAnsi="仿宋" w:eastAsia="仿宋"/>
        </w:rPr>
        <w:t xml:space="preserve"> </w:t>
      </w:r>
      <w:r>
        <w:rPr>
          <w:rFonts w:ascii="仿宋" w:hAnsi="仿宋" w:eastAsia="仿宋"/>
        </w:rPr>
        <w:t>专利</w:t>
      </w:r>
      <w:r>
        <w:rPr>
          <w:rFonts w:hint="eastAsia" w:ascii="仿宋" w:hAnsi="仿宋" w:eastAsia="仿宋"/>
        </w:rPr>
        <w:t>权具</w:t>
      </w:r>
      <w:r>
        <w:rPr>
          <w:rFonts w:ascii="仿宋" w:hAnsi="仿宋" w:eastAsia="仿宋"/>
        </w:rPr>
        <w:t>有法定的保护期限，超过</w:t>
      </w:r>
      <w:r>
        <w:rPr>
          <w:rFonts w:hint="eastAsia" w:ascii="仿宋" w:hAnsi="仿宋" w:eastAsia="仿宋"/>
        </w:rPr>
        <w:t>法定</w:t>
      </w:r>
      <w:r>
        <w:rPr>
          <w:rFonts w:ascii="仿宋" w:hAnsi="仿宋" w:eastAsia="仿宋"/>
        </w:rPr>
        <w:t>保护期限</w:t>
      </w:r>
      <w:r>
        <w:rPr>
          <w:rFonts w:hint="eastAsia" w:ascii="仿宋" w:hAnsi="仿宋" w:eastAsia="仿宋"/>
        </w:rPr>
        <w:t>相应技术与设计就</w:t>
      </w:r>
      <w:r>
        <w:rPr>
          <w:rFonts w:ascii="仿宋" w:hAnsi="仿宋" w:eastAsia="仿宋"/>
        </w:rPr>
        <w:t>进入公</w:t>
      </w:r>
      <w:r>
        <w:rPr>
          <w:rFonts w:hint="eastAsia" w:ascii="仿宋" w:hAnsi="仿宋" w:eastAsia="仿宋"/>
        </w:rPr>
        <w:t>共</w:t>
      </w:r>
      <w:r>
        <w:rPr>
          <w:rFonts w:ascii="仿宋" w:hAnsi="仿宋" w:eastAsia="仿宋"/>
        </w:rPr>
        <w:t>领域，任何人均可以使用该项技术</w:t>
      </w:r>
      <w:r>
        <w:rPr>
          <w:rFonts w:hint="eastAsia" w:ascii="仿宋" w:hAnsi="仿宋" w:eastAsia="仿宋"/>
        </w:rPr>
        <w:t>与设计</w:t>
      </w:r>
      <w:r>
        <w:rPr>
          <w:rFonts w:ascii="仿宋" w:hAnsi="仿宋" w:eastAsia="仿宋"/>
        </w:rPr>
        <w:t>；</w:t>
      </w:r>
      <w:r>
        <w:rPr>
          <w:rFonts w:hint="eastAsia" w:ascii="仿宋" w:hAnsi="仿宋" w:eastAsia="仿宋"/>
        </w:rPr>
        <w:t>而</w:t>
      </w:r>
      <w:r>
        <w:rPr>
          <w:rFonts w:ascii="仿宋" w:hAnsi="仿宋" w:eastAsia="仿宋"/>
        </w:rPr>
        <w:t>商业秘密只要</w:t>
      </w:r>
      <w:r>
        <w:rPr>
          <w:rFonts w:hint="eastAsia" w:ascii="仿宋" w:hAnsi="仿宋" w:eastAsia="仿宋"/>
        </w:rPr>
        <w:t>采取有效保护措施而</w:t>
      </w:r>
      <w:r>
        <w:rPr>
          <w:rFonts w:ascii="仿宋" w:hAnsi="仿宋" w:eastAsia="仿宋"/>
        </w:rPr>
        <w:t>不被公开，即可享有无限期</w:t>
      </w:r>
      <w:r>
        <w:rPr>
          <w:rFonts w:hint="eastAsia" w:ascii="仿宋" w:hAnsi="仿宋" w:eastAsia="仿宋"/>
        </w:rPr>
        <w:t>的长久</w:t>
      </w:r>
      <w:r>
        <w:rPr>
          <w:rFonts w:ascii="仿宋" w:hAnsi="仿宋" w:eastAsia="仿宋"/>
        </w:rPr>
        <w:t>保护。</w:t>
      </w:r>
    </w:p>
    <w:p>
      <w:pPr>
        <w:pStyle w:val="51"/>
        <w:spacing w:line="312" w:lineRule="auto"/>
        <w:ind w:firstLineChars="0"/>
        <w:rPr>
          <w:rFonts w:ascii="仿宋" w:hAnsi="仿宋" w:eastAsia="仿宋"/>
          <w:sz w:val="24"/>
        </w:rPr>
      </w:pPr>
      <w:r>
        <w:rPr>
          <w:rFonts w:hint="eastAsia" w:ascii="仿宋" w:hAnsi="仿宋" w:eastAsia="仿宋"/>
          <w:sz w:val="24"/>
        </w:rPr>
        <w:t>（7）</w:t>
      </w:r>
      <w:r>
        <w:rPr>
          <w:rFonts w:ascii="仿宋" w:hAnsi="仿宋" w:eastAsia="仿宋"/>
          <w:sz w:val="24"/>
        </w:rPr>
        <w:t>保护地域不同</w:t>
      </w:r>
    </w:p>
    <w:p>
      <w:pPr>
        <w:spacing w:line="312" w:lineRule="auto"/>
        <w:ind w:firstLine="480" w:firstLineChars="200"/>
        <w:rPr>
          <w:rFonts w:ascii="仿宋" w:hAnsi="仿宋" w:eastAsia="仿宋"/>
        </w:rPr>
      </w:pPr>
      <w:r>
        <w:rPr>
          <w:rFonts w:ascii="仿宋" w:hAnsi="仿宋" w:eastAsia="仿宋"/>
        </w:rPr>
        <w:t>专利</w:t>
      </w:r>
      <w:r>
        <w:rPr>
          <w:rFonts w:hint="eastAsia" w:ascii="仿宋" w:hAnsi="仿宋" w:eastAsia="仿宋"/>
        </w:rPr>
        <w:t>权保护</w:t>
      </w:r>
      <w:r>
        <w:rPr>
          <w:rFonts w:ascii="仿宋" w:hAnsi="仿宋" w:eastAsia="仿宋"/>
        </w:rPr>
        <w:t>具有地域性。是指一个国家或一个地区所授予的专利保护权仅在该国或地区的范围内有效,除此之外的国家和地区不发生法律效力</w:t>
      </w:r>
      <w:r>
        <w:rPr>
          <w:rFonts w:hint="eastAsia" w:ascii="仿宋" w:hAnsi="仿宋" w:eastAsia="仿宋"/>
          <w:color w:val="000000" w:themeColor="text1"/>
          <w14:textFill>
            <w14:solidFill>
              <w14:schemeClr w14:val="tx1"/>
            </w14:solidFill>
          </w14:textFill>
        </w:rPr>
        <w:t>；</w:t>
      </w:r>
      <w:r>
        <w:rPr>
          <w:rFonts w:hint="eastAsia" w:ascii="仿宋" w:hAnsi="仿宋" w:eastAsia="仿宋"/>
        </w:rPr>
        <w:t>而</w:t>
      </w:r>
      <w:r>
        <w:rPr>
          <w:rFonts w:ascii="仿宋" w:hAnsi="仿宋" w:eastAsia="仿宋"/>
        </w:rPr>
        <w:t>商业秘密则可以依据多边或者双边条约得到域外保护。</w:t>
      </w:r>
    </w:p>
    <w:p>
      <w:pPr>
        <w:pStyle w:val="51"/>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6</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【商业秘密与著作权】</w:t>
      </w:r>
    </w:p>
    <w:p>
      <w:pPr>
        <w:pStyle w:val="51"/>
        <w:spacing w:line="312" w:lineRule="auto"/>
        <w:ind w:firstLine="480"/>
        <w:rPr>
          <w:rFonts w:ascii="仿宋" w:hAnsi="仿宋" w:eastAsia="仿宋"/>
          <w:bCs/>
          <w:sz w:val="24"/>
        </w:rPr>
      </w:pPr>
      <w:r>
        <w:rPr>
          <w:rFonts w:hint="eastAsia" w:ascii="仿宋" w:hAnsi="仿宋" w:eastAsia="仿宋"/>
          <w:bCs/>
          <w:sz w:val="24"/>
        </w:rPr>
        <w:t>6</w:t>
      </w:r>
      <w:r>
        <w:rPr>
          <w:rFonts w:ascii="仿宋" w:hAnsi="仿宋" w:eastAsia="仿宋"/>
          <w:bCs/>
          <w:sz w:val="24"/>
        </w:rPr>
        <w:t xml:space="preserve">.1 </w:t>
      </w:r>
      <w:r>
        <w:rPr>
          <w:rFonts w:hint="eastAsia" w:ascii="仿宋" w:hAnsi="仿宋" w:eastAsia="仿宋"/>
          <w:bCs/>
          <w:sz w:val="24"/>
        </w:rPr>
        <w:t>商业秘密与著作权对知识产权成果的共同保护</w:t>
      </w:r>
    </w:p>
    <w:p>
      <w:pPr>
        <w:spacing w:line="312" w:lineRule="auto"/>
        <w:ind w:firstLine="480" w:firstLineChars="200"/>
        <w:rPr>
          <w:rFonts w:ascii="仿宋" w:hAnsi="仿宋" w:eastAsia="仿宋"/>
        </w:rPr>
      </w:pPr>
      <w:r>
        <w:rPr>
          <w:rFonts w:hint="eastAsia" w:ascii="仿宋" w:hAnsi="仿宋" w:eastAsia="仿宋"/>
        </w:rPr>
        <w:t>著作权并非以登记或公开为权利取得的条件，而商业秘密同样也不需要进行登记，根据商业秘密的特性也不能公开，对于某项权利人的作品，特别是计算机软件、技术设计图纸，可以同时采取保密措施作为一种商业秘密加以保护，以更好地保护权利人的权利。</w:t>
      </w:r>
    </w:p>
    <w:p>
      <w:pPr>
        <w:spacing w:line="312" w:lineRule="auto"/>
        <w:ind w:firstLine="564" w:firstLineChars="235"/>
        <w:rPr>
          <w:rFonts w:ascii="仿宋" w:hAnsi="仿宋" w:eastAsia="仿宋"/>
          <w:bCs/>
        </w:rPr>
      </w:pPr>
      <w:r>
        <w:rPr>
          <w:rFonts w:hint="eastAsia" w:ascii="仿宋" w:hAnsi="仿宋" w:eastAsia="仿宋"/>
          <w:bCs/>
        </w:rPr>
        <w:t>6</w:t>
      </w:r>
      <w:r>
        <w:rPr>
          <w:rFonts w:ascii="仿宋" w:hAnsi="仿宋" w:eastAsia="仿宋"/>
          <w:bCs/>
        </w:rPr>
        <w:t xml:space="preserve">.2 </w:t>
      </w:r>
      <w:r>
        <w:rPr>
          <w:rFonts w:hint="eastAsia" w:ascii="仿宋" w:hAnsi="仿宋" w:eastAsia="仿宋"/>
          <w:bCs/>
        </w:rPr>
        <w:t>商业秘密与著作权的主要区别</w:t>
      </w:r>
    </w:p>
    <w:p>
      <w:pPr>
        <w:pStyle w:val="51"/>
        <w:tabs>
          <w:tab w:val="left" w:pos="709"/>
          <w:tab w:val="left" w:pos="993"/>
        </w:tabs>
        <w:spacing w:line="312" w:lineRule="auto"/>
        <w:ind w:firstLineChars="0"/>
        <w:rPr>
          <w:rFonts w:ascii="仿宋" w:hAnsi="仿宋" w:eastAsia="仿宋"/>
          <w:sz w:val="24"/>
        </w:rPr>
      </w:pPr>
      <w:r>
        <w:rPr>
          <w:rFonts w:hint="eastAsia" w:ascii="仿宋" w:hAnsi="仿宋" w:eastAsia="仿宋"/>
          <w:sz w:val="24"/>
        </w:rPr>
        <w:t>（1）权利产生方式不同</w:t>
      </w:r>
    </w:p>
    <w:p>
      <w:pPr>
        <w:tabs>
          <w:tab w:val="left" w:pos="709"/>
        </w:tabs>
        <w:spacing w:line="312" w:lineRule="auto"/>
        <w:ind w:firstLine="360" w:firstLineChars="150"/>
        <w:rPr>
          <w:rFonts w:ascii="仿宋" w:hAnsi="仿宋" w:eastAsia="仿宋"/>
        </w:rPr>
      </w:pPr>
      <w:r>
        <w:rPr>
          <w:rFonts w:hint="eastAsia" w:ascii="仿宋" w:hAnsi="仿宋" w:eastAsia="仿宋"/>
        </w:rPr>
        <w:t xml:space="preserve"> 著作权是依据著作权法的直接规定而获得，作品一经完成，只要符合法律规定的条件，即可获得著作权，而不管该作品是否发表。商业信息只有符合法定的构成要件才能作为商业秘密而具有相应的权利。</w:t>
      </w:r>
    </w:p>
    <w:p>
      <w:pPr>
        <w:pStyle w:val="51"/>
        <w:tabs>
          <w:tab w:val="left" w:pos="709"/>
          <w:tab w:val="left" w:pos="993"/>
        </w:tabs>
        <w:spacing w:line="312" w:lineRule="auto"/>
        <w:ind w:firstLineChars="0"/>
        <w:rPr>
          <w:rFonts w:ascii="仿宋" w:hAnsi="仿宋" w:eastAsia="仿宋"/>
          <w:sz w:val="24"/>
        </w:rPr>
      </w:pPr>
      <w:r>
        <w:rPr>
          <w:rFonts w:hint="eastAsia" w:ascii="仿宋" w:hAnsi="仿宋" w:eastAsia="仿宋"/>
          <w:sz w:val="24"/>
        </w:rPr>
        <w:t>（2）保护客体不同</w:t>
      </w:r>
    </w:p>
    <w:p>
      <w:pPr>
        <w:tabs>
          <w:tab w:val="left" w:pos="709"/>
        </w:tabs>
        <w:spacing w:line="312" w:lineRule="auto"/>
        <w:ind w:firstLine="480" w:firstLineChars="200"/>
        <w:rPr>
          <w:rFonts w:ascii="仿宋" w:hAnsi="仿宋" w:eastAsia="仿宋"/>
        </w:rPr>
      </w:pPr>
      <w:r>
        <w:rPr>
          <w:rFonts w:ascii="仿宋" w:hAnsi="仿宋" w:eastAsia="仿宋"/>
          <w:color w:val="000000" w:themeColor="text1"/>
          <w14:textFill>
            <w14:solidFill>
              <w14:schemeClr w14:val="tx1"/>
            </w14:solidFill>
          </w14:textFill>
        </w:rPr>
        <w:t>我国著作权法所保护的作品，是指文学、艺术和科学领域内具有独创性并能以一定形式表现的智力成果。</w:t>
      </w:r>
      <w:r>
        <w:rPr>
          <w:rFonts w:hint="eastAsia" w:ascii="仿宋" w:hAnsi="仿宋" w:eastAsia="仿宋"/>
        </w:rPr>
        <w:t>而根据我国反不正当竞争法，商业秘密的保护对象包括技术信息、经营信息等商业信息。两者保护客体主要在科技领域有交叉，主要表现在计算机软件与工业设计图纸方面，在其他方面则明显不同，著作权主要保护的客体大多存在于文学、艺术领域，而商业秘密保护的领域则存在于工商业领域。</w:t>
      </w:r>
    </w:p>
    <w:p>
      <w:pPr>
        <w:pStyle w:val="51"/>
        <w:tabs>
          <w:tab w:val="left" w:pos="709"/>
          <w:tab w:val="left" w:pos="993"/>
        </w:tabs>
        <w:spacing w:line="312" w:lineRule="auto"/>
        <w:ind w:firstLineChars="0"/>
        <w:rPr>
          <w:rFonts w:ascii="仿宋" w:hAnsi="仿宋" w:eastAsia="仿宋"/>
          <w:sz w:val="24"/>
        </w:rPr>
      </w:pPr>
      <w:r>
        <w:rPr>
          <w:rFonts w:hint="eastAsia" w:ascii="仿宋" w:hAnsi="仿宋" w:eastAsia="仿宋"/>
          <w:sz w:val="24"/>
        </w:rPr>
        <w:t>（3）保护方式不同</w:t>
      </w:r>
    </w:p>
    <w:p>
      <w:pPr>
        <w:tabs>
          <w:tab w:val="left" w:pos="709"/>
        </w:tabs>
        <w:spacing w:line="312" w:lineRule="auto"/>
        <w:ind w:firstLine="360" w:firstLineChars="150"/>
        <w:rPr>
          <w:rFonts w:ascii="仿宋" w:hAnsi="仿宋" w:eastAsia="仿宋"/>
        </w:rPr>
      </w:pPr>
      <w:r>
        <w:rPr>
          <w:rFonts w:hint="eastAsia" w:ascii="仿宋" w:hAnsi="仿宋" w:eastAsia="仿宋"/>
        </w:rPr>
        <w:t xml:space="preserve"> 著权法上的作品一经创作完成，只要符合法律规定的作品条件，即可依法受到保护，而不管该作品是否发表。而商业秘密权利人主要通过自行采取保密措施保护商业秘密。例如：订立保密协议、制定保密制度、进行保密培训、给商业秘密划定密级和明确标识、设置秘密工作区域、配置专门存储和传输商业秘密的电脑及打印机等方式。</w:t>
      </w:r>
    </w:p>
    <w:p>
      <w:pPr>
        <w:pStyle w:val="51"/>
        <w:tabs>
          <w:tab w:val="left" w:pos="709"/>
          <w:tab w:val="left" w:pos="993"/>
        </w:tabs>
        <w:spacing w:line="312" w:lineRule="auto"/>
        <w:ind w:left="480" w:firstLine="0" w:firstLineChars="0"/>
        <w:rPr>
          <w:rFonts w:ascii="仿宋" w:hAnsi="仿宋" w:eastAsia="仿宋"/>
          <w:sz w:val="24"/>
        </w:rPr>
      </w:pPr>
      <w:r>
        <w:rPr>
          <w:rFonts w:hint="eastAsia" w:ascii="仿宋" w:hAnsi="仿宋" w:eastAsia="仿宋"/>
          <w:sz w:val="24"/>
        </w:rPr>
        <w:t>（4）保护期限不同</w:t>
      </w:r>
    </w:p>
    <w:p>
      <w:pPr>
        <w:spacing w:line="312" w:lineRule="auto"/>
        <w:ind w:firstLine="360" w:firstLineChars="150"/>
        <w:rPr>
          <w:rFonts w:ascii="仿宋" w:hAnsi="仿宋" w:eastAsia="仿宋"/>
        </w:rPr>
      </w:pPr>
      <w:bookmarkStart w:id="13" w:name="_Hlk67595981"/>
      <w:r>
        <w:rPr>
          <w:rFonts w:ascii="仿宋" w:hAnsi="仿宋" w:eastAsia="仿宋"/>
        </w:rPr>
        <w:t>《著作权法》</w:t>
      </w:r>
      <w:bookmarkEnd w:id="13"/>
      <w:r>
        <w:rPr>
          <w:rFonts w:hint="eastAsia" w:ascii="仿宋" w:hAnsi="仿宋" w:eastAsia="仿宋"/>
        </w:rPr>
        <w:t>第二十三条</w:t>
      </w:r>
      <w:r>
        <w:rPr>
          <w:rFonts w:ascii="仿宋" w:hAnsi="仿宋" w:eastAsia="仿宋"/>
        </w:rPr>
        <w:t>规定，</w:t>
      </w:r>
      <w:r>
        <w:rPr>
          <w:rFonts w:hint="eastAsia" w:ascii="仿宋" w:hAnsi="仿宋" w:eastAsia="仿宋"/>
        </w:rPr>
        <w:t>法人或者非法人组织的作品、著作权（署名权除外）由法人或者非法人组织享有的职务作品，其发表权的保护期为五十年，截止于作品创作完成后第五十年的12月31日；</w:t>
      </w:r>
      <w:bookmarkStart w:id="14" w:name="_Hlk67596030"/>
      <w:r>
        <w:rPr>
          <w:rFonts w:hint="eastAsia" w:ascii="仿宋" w:hAnsi="仿宋" w:eastAsia="仿宋"/>
        </w:rPr>
        <w:t>《著作权法》</w:t>
      </w:r>
      <w:bookmarkEnd w:id="14"/>
      <w:r>
        <w:rPr>
          <w:rFonts w:ascii="仿宋" w:hAnsi="仿宋" w:eastAsia="仿宋"/>
        </w:rPr>
        <w:t>第十条第一款第五项</w:t>
      </w:r>
      <w:r>
        <w:rPr>
          <w:rFonts w:hint="eastAsia" w:ascii="仿宋" w:hAnsi="仿宋" w:eastAsia="仿宋"/>
        </w:rPr>
        <w:t>至</w:t>
      </w:r>
      <w:r>
        <w:rPr>
          <w:rFonts w:ascii="仿宋" w:hAnsi="仿宋" w:eastAsia="仿宋"/>
        </w:rPr>
        <w:t>第十七项</w:t>
      </w:r>
      <w:r>
        <w:rPr>
          <w:rFonts w:hint="eastAsia" w:ascii="仿宋" w:hAnsi="仿宋" w:eastAsia="仿宋"/>
        </w:rPr>
        <w:t>规定的权利的保护期为五十年，截止于作品首次发表后第五十年的12月31日，但作品自创作完成后五十年内未发表的，则《著作权法》不再保护。而</w:t>
      </w:r>
      <w:r>
        <w:rPr>
          <w:rFonts w:ascii="仿宋" w:hAnsi="仿宋" w:eastAsia="仿宋"/>
        </w:rPr>
        <w:t>商业秘密只要</w:t>
      </w:r>
      <w:r>
        <w:rPr>
          <w:rFonts w:hint="eastAsia" w:ascii="仿宋" w:hAnsi="仿宋" w:eastAsia="仿宋"/>
        </w:rPr>
        <w:t>采取有效保密措施而</w:t>
      </w:r>
      <w:r>
        <w:rPr>
          <w:rFonts w:ascii="仿宋" w:hAnsi="仿宋" w:eastAsia="仿宋"/>
        </w:rPr>
        <w:t>不被公开，即可享有无限期</w:t>
      </w:r>
      <w:r>
        <w:rPr>
          <w:rFonts w:hint="eastAsia" w:ascii="仿宋" w:hAnsi="仿宋" w:eastAsia="仿宋"/>
        </w:rPr>
        <w:t>的长久</w:t>
      </w:r>
      <w:r>
        <w:rPr>
          <w:rFonts w:ascii="仿宋" w:hAnsi="仿宋" w:eastAsia="仿宋"/>
        </w:rPr>
        <w:t>保护。</w:t>
      </w:r>
    </w:p>
    <w:p>
      <w:pPr>
        <w:pStyle w:val="51"/>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7</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【不同知识产权保护方式的选择】</w:t>
      </w:r>
    </w:p>
    <w:p>
      <w:pPr>
        <w:spacing w:line="312" w:lineRule="auto"/>
        <w:ind w:firstLine="424" w:firstLineChars="177"/>
        <w:rPr>
          <w:rFonts w:ascii="仿宋" w:hAnsi="仿宋" w:eastAsia="仿宋"/>
        </w:rPr>
      </w:pPr>
      <w:r>
        <w:rPr>
          <w:rFonts w:hint="eastAsia" w:ascii="仿宋" w:hAnsi="仿宋" w:eastAsia="仿宋"/>
        </w:rPr>
        <w:t>面对同一客体，可根据不同情形采取不同的知识产权保护方式，在民事诉讼时选择不同的案由，提出相应不同的诉讼请求。</w:t>
      </w:r>
    </w:p>
    <w:p>
      <w:pPr>
        <w:spacing w:line="312" w:lineRule="auto"/>
        <w:ind w:firstLine="480" w:firstLineChars="200"/>
        <w:rPr>
          <w:rFonts w:ascii="仿宋" w:hAnsi="仿宋" w:eastAsia="仿宋"/>
        </w:rPr>
      </w:pPr>
      <w:r>
        <w:rPr>
          <w:rFonts w:hint="eastAsia" w:ascii="仿宋" w:hAnsi="仿宋" w:eastAsia="仿宋"/>
        </w:rPr>
        <w:t>7</w:t>
      </w:r>
      <w:r>
        <w:rPr>
          <w:rFonts w:ascii="仿宋" w:hAnsi="仿宋" w:eastAsia="仿宋"/>
        </w:rPr>
        <w:t xml:space="preserve">.1 </w:t>
      </w:r>
      <w:r>
        <w:rPr>
          <w:rFonts w:hint="eastAsia" w:ascii="仿宋" w:hAnsi="仿宋" w:eastAsia="仿宋"/>
        </w:rPr>
        <w:t>对于技术方案与设计可根据不同情形、不同阶段分别选择专利或商业秘密加以保护，在民事诉讼时选择不同的案由进行起诉。</w:t>
      </w:r>
    </w:p>
    <w:p>
      <w:pPr>
        <w:spacing w:line="312" w:lineRule="auto"/>
        <w:ind w:firstLine="480" w:firstLineChars="200"/>
        <w:rPr>
          <w:rFonts w:ascii="仿宋" w:hAnsi="仿宋" w:eastAsia="仿宋"/>
        </w:rPr>
      </w:pPr>
      <w:r>
        <w:rPr>
          <w:rFonts w:hint="eastAsia" w:ascii="仿宋" w:hAnsi="仿宋" w:eastAsia="仿宋"/>
        </w:rPr>
        <w:t>7</w:t>
      </w:r>
      <w:r>
        <w:rPr>
          <w:rFonts w:ascii="仿宋" w:hAnsi="仿宋" w:eastAsia="仿宋"/>
        </w:rPr>
        <w:t xml:space="preserve">.2 </w:t>
      </w:r>
      <w:r>
        <w:rPr>
          <w:rFonts w:hint="eastAsia" w:ascii="仿宋" w:hAnsi="仿宋" w:eastAsia="仿宋"/>
        </w:rPr>
        <w:t>对于计算机软件与工业设计图纸作品，可考虑采取相应的保密措施作为商业秘密加以保护，在民事诉讼时选择相应的案由进行起诉。</w:t>
      </w:r>
    </w:p>
    <w:p>
      <w:pPr>
        <w:spacing w:line="312" w:lineRule="auto"/>
        <w:ind w:firstLine="480" w:firstLineChars="200"/>
        <w:rPr>
          <w:rFonts w:ascii="仿宋" w:hAnsi="仿宋" w:eastAsia="仿宋"/>
        </w:rPr>
      </w:pPr>
      <w:r>
        <w:rPr>
          <w:rFonts w:hint="eastAsia" w:ascii="仿宋" w:hAnsi="仿宋" w:eastAsia="仿宋"/>
        </w:rPr>
        <w:t>7</w:t>
      </w:r>
      <w:r>
        <w:rPr>
          <w:rFonts w:ascii="仿宋" w:hAnsi="仿宋" w:eastAsia="仿宋"/>
        </w:rPr>
        <w:t xml:space="preserve">.3 </w:t>
      </w:r>
      <w:r>
        <w:rPr>
          <w:rFonts w:hint="eastAsia" w:ascii="仿宋" w:hAnsi="仿宋" w:eastAsia="仿宋"/>
        </w:rPr>
        <w:t>对于能被以反向工程破解的技术方案或设计不宜采用商业秘密保护方式，可相应以专利权、著作权的权利形式加以保护，在民事诉讼时选择相应的案由进行起诉。</w:t>
      </w:r>
    </w:p>
    <w:p>
      <w:pPr>
        <w:pStyle w:val="3"/>
        <w:spacing w:after="0" w:line="312" w:lineRule="auto"/>
        <w:jc w:val="center"/>
        <w:rPr>
          <w:sz w:val="24"/>
          <w:szCs w:val="24"/>
        </w:rPr>
      </w:pPr>
      <w:bookmarkStart w:id="15" w:name="_Toc122294615"/>
      <w:r>
        <w:rPr>
          <w:rFonts w:hint="eastAsia"/>
          <w:sz w:val="24"/>
          <w:szCs w:val="24"/>
        </w:rPr>
        <w:t>第四节 商业秘密类型与范围</w:t>
      </w:r>
      <w:bookmarkEnd w:id="15"/>
    </w:p>
    <w:p>
      <w:pPr>
        <w:pStyle w:val="51"/>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8</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【商业秘密的类别与范围】</w:t>
      </w:r>
    </w:p>
    <w:p>
      <w:pPr>
        <w:pStyle w:val="50"/>
        <w:spacing w:line="312" w:lineRule="auto"/>
        <w:jc w:val="both"/>
      </w:pPr>
      <w:r>
        <w:t xml:space="preserve">8.1 </w:t>
      </w:r>
      <w:r>
        <w:rPr>
          <w:rFonts w:hint="eastAsia"/>
        </w:rPr>
        <w:t>【商业秘密类别】商业秘密分为技术信息秘密、经营信息秘密。</w:t>
      </w:r>
    </w:p>
    <w:p>
      <w:pPr>
        <w:pStyle w:val="50"/>
        <w:spacing w:line="312" w:lineRule="auto"/>
        <w:jc w:val="both"/>
      </w:pPr>
      <w:r>
        <w:t xml:space="preserve">8.2 </w:t>
      </w:r>
      <w:r>
        <w:rPr>
          <w:rFonts w:hint="eastAsia"/>
        </w:rPr>
        <w:t>【商业秘密范围】</w:t>
      </w:r>
    </w:p>
    <w:p>
      <w:pPr>
        <w:pStyle w:val="50"/>
        <w:spacing w:line="312" w:lineRule="auto"/>
        <w:jc w:val="both"/>
      </w:pPr>
      <w:r>
        <w:t xml:space="preserve">8.2.1 </w:t>
      </w:r>
      <w:r>
        <w:rPr>
          <w:rFonts w:hint="eastAsia"/>
        </w:rPr>
        <w:t>作为商业秘密的技术信息一般包括：</w:t>
      </w:r>
    </w:p>
    <w:p>
      <w:pPr>
        <w:pStyle w:val="50"/>
        <w:numPr>
          <w:ilvl w:val="2"/>
          <w:numId w:val="1"/>
        </w:numPr>
        <w:spacing w:line="312" w:lineRule="auto"/>
        <w:ind w:hanging="616"/>
        <w:jc w:val="both"/>
      </w:pPr>
      <w:r>
        <w:t>公司产品</w:t>
      </w:r>
      <w:r>
        <w:rPr>
          <w:rFonts w:hint="eastAsia"/>
        </w:rPr>
        <w:t>设计方案、技术方案</w:t>
      </w:r>
      <w:r>
        <w:t>；</w:t>
      </w:r>
    </w:p>
    <w:p>
      <w:pPr>
        <w:pStyle w:val="50"/>
        <w:numPr>
          <w:ilvl w:val="2"/>
          <w:numId w:val="1"/>
        </w:numPr>
        <w:spacing w:line="312" w:lineRule="auto"/>
        <w:ind w:hanging="616"/>
        <w:jc w:val="both"/>
      </w:pPr>
      <w:r>
        <w:t>公司产品生产工艺、</w:t>
      </w:r>
      <w:r>
        <w:rPr>
          <w:rFonts w:hint="eastAsia"/>
        </w:rPr>
        <w:t>生产</w:t>
      </w:r>
      <w:r>
        <w:t>技术参数、生产工艺流程；</w:t>
      </w:r>
    </w:p>
    <w:p>
      <w:pPr>
        <w:pStyle w:val="50"/>
        <w:numPr>
          <w:ilvl w:val="2"/>
          <w:numId w:val="1"/>
        </w:numPr>
        <w:spacing w:line="312" w:lineRule="auto"/>
        <w:ind w:hanging="616"/>
        <w:jc w:val="both"/>
      </w:pPr>
      <w:r>
        <w:t>公司产品制造方法、产品配方；</w:t>
      </w:r>
    </w:p>
    <w:p>
      <w:pPr>
        <w:pStyle w:val="50"/>
        <w:numPr>
          <w:ilvl w:val="2"/>
          <w:numId w:val="1"/>
        </w:numPr>
        <w:spacing w:line="312" w:lineRule="auto"/>
        <w:ind w:hanging="616"/>
        <w:jc w:val="both"/>
      </w:pPr>
      <w:r>
        <w:t>公司产品</w:t>
      </w:r>
      <w:r>
        <w:rPr>
          <w:rFonts w:hint="eastAsia"/>
        </w:rPr>
        <w:t>研发成</w:t>
      </w:r>
      <w:r>
        <w:t>果、科研数据库；</w:t>
      </w:r>
    </w:p>
    <w:p>
      <w:pPr>
        <w:pStyle w:val="50"/>
        <w:numPr>
          <w:ilvl w:val="2"/>
          <w:numId w:val="1"/>
        </w:numPr>
        <w:spacing w:line="312" w:lineRule="auto"/>
        <w:ind w:hanging="616"/>
        <w:jc w:val="both"/>
      </w:pPr>
      <w:r>
        <w:t>公司产品试验记录、试验结果</w:t>
      </w:r>
      <w:r>
        <w:rPr>
          <w:rFonts w:hint="eastAsia"/>
        </w:rPr>
        <w:t>数据</w:t>
      </w:r>
      <w:r>
        <w:t>；</w:t>
      </w:r>
    </w:p>
    <w:p>
      <w:pPr>
        <w:pStyle w:val="50"/>
        <w:numPr>
          <w:ilvl w:val="2"/>
          <w:numId w:val="1"/>
        </w:numPr>
        <w:spacing w:line="312" w:lineRule="auto"/>
        <w:ind w:hanging="616"/>
        <w:jc w:val="both"/>
      </w:pPr>
      <w:r>
        <w:t>公司新产品、新技术、新设备的</w:t>
      </w:r>
      <w:r>
        <w:rPr>
          <w:rFonts w:hint="eastAsia"/>
        </w:rPr>
        <w:t>研发进度与</w:t>
      </w:r>
      <w:r>
        <w:t>情况；</w:t>
      </w:r>
    </w:p>
    <w:p>
      <w:pPr>
        <w:pStyle w:val="50"/>
        <w:numPr>
          <w:ilvl w:val="2"/>
          <w:numId w:val="1"/>
        </w:numPr>
        <w:spacing w:line="312" w:lineRule="auto"/>
        <w:ind w:hanging="616"/>
        <w:jc w:val="both"/>
      </w:pPr>
      <w:r>
        <w:rPr>
          <w:rFonts w:hint="eastAsia"/>
        </w:rPr>
        <w:t>计算机软件、产品设计图纸；</w:t>
      </w:r>
    </w:p>
    <w:p>
      <w:pPr>
        <w:pStyle w:val="50"/>
        <w:numPr>
          <w:ilvl w:val="2"/>
          <w:numId w:val="1"/>
        </w:numPr>
        <w:spacing w:line="312" w:lineRule="auto"/>
        <w:ind w:hanging="616"/>
        <w:jc w:val="both"/>
      </w:pPr>
      <w:r>
        <w:t>公司各种产品样品、原材料标准、</w:t>
      </w:r>
      <w:r>
        <w:rPr>
          <w:rFonts w:hint="eastAsia"/>
        </w:rPr>
        <w:t>成</w:t>
      </w:r>
      <w:r>
        <w:t>品检测报告</w:t>
      </w:r>
      <w:r>
        <w:rPr>
          <w:rFonts w:hint="eastAsia"/>
        </w:rPr>
        <w:t>数据</w:t>
      </w:r>
      <w:r>
        <w:t>；</w:t>
      </w:r>
    </w:p>
    <w:p>
      <w:pPr>
        <w:pStyle w:val="50"/>
        <w:numPr>
          <w:ilvl w:val="2"/>
          <w:numId w:val="1"/>
        </w:numPr>
        <w:spacing w:line="312" w:lineRule="auto"/>
        <w:ind w:hanging="616"/>
        <w:jc w:val="both"/>
      </w:pPr>
      <w:r>
        <w:t>公司重要技术研讨会议、技术交流会议的会议纪要；</w:t>
      </w:r>
    </w:p>
    <w:p>
      <w:pPr>
        <w:pStyle w:val="50"/>
        <w:numPr>
          <w:ilvl w:val="2"/>
          <w:numId w:val="1"/>
        </w:numPr>
        <w:tabs>
          <w:tab w:val="left" w:pos="993"/>
          <w:tab w:val="left" w:pos="1134"/>
        </w:tabs>
        <w:spacing w:line="312" w:lineRule="auto"/>
        <w:ind w:hanging="616"/>
        <w:jc w:val="both"/>
      </w:pPr>
      <w:r>
        <w:t>公司对外技术交流与业务活</w:t>
      </w:r>
      <w:r>
        <w:rPr>
          <w:rFonts w:hint="eastAsia"/>
        </w:rPr>
        <w:t>动</w:t>
      </w:r>
      <w:r>
        <w:t>中的秘密</w:t>
      </w:r>
      <w:r>
        <w:rPr>
          <w:rFonts w:hint="eastAsia"/>
        </w:rPr>
        <w:t>信息；</w:t>
      </w:r>
    </w:p>
    <w:p>
      <w:pPr>
        <w:pStyle w:val="50"/>
        <w:numPr>
          <w:ilvl w:val="2"/>
          <w:numId w:val="1"/>
        </w:numPr>
        <w:tabs>
          <w:tab w:val="left" w:pos="993"/>
          <w:tab w:val="left" w:pos="1134"/>
        </w:tabs>
        <w:spacing w:line="312" w:lineRule="auto"/>
        <w:ind w:hanging="616"/>
        <w:jc w:val="both"/>
      </w:pPr>
      <w:r>
        <w:rPr>
          <w:rFonts w:hint="eastAsia"/>
        </w:rPr>
        <w:t>公司</w:t>
      </w:r>
      <w:r>
        <w:t>对</w:t>
      </w:r>
      <w:r>
        <w:rPr>
          <w:rFonts w:hint="eastAsia"/>
        </w:rPr>
        <w:t>外</w:t>
      </w:r>
      <w:r>
        <w:t>承担保密义务</w:t>
      </w:r>
      <w:r>
        <w:rPr>
          <w:rFonts w:hint="eastAsia"/>
        </w:rPr>
        <w:t>而需要保密</w:t>
      </w:r>
      <w:r>
        <w:t>的</w:t>
      </w:r>
      <w:r>
        <w:rPr>
          <w:rFonts w:hint="eastAsia"/>
        </w:rPr>
        <w:t>技术信息；</w:t>
      </w:r>
    </w:p>
    <w:p>
      <w:pPr>
        <w:pStyle w:val="50"/>
        <w:numPr>
          <w:ilvl w:val="2"/>
          <w:numId w:val="1"/>
        </w:numPr>
        <w:tabs>
          <w:tab w:val="left" w:pos="851"/>
          <w:tab w:val="left" w:pos="1134"/>
        </w:tabs>
        <w:spacing w:line="312" w:lineRule="auto"/>
        <w:ind w:hanging="616"/>
        <w:jc w:val="both"/>
      </w:pPr>
      <w:r>
        <w:t>公司其他需要保密或标明保密的技术信息。</w:t>
      </w:r>
    </w:p>
    <w:p>
      <w:pPr>
        <w:pStyle w:val="50"/>
        <w:spacing w:line="312" w:lineRule="auto"/>
        <w:jc w:val="both"/>
      </w:pPr>
      <w:r>
        <w:t xml:space="preserve">8.2.2 </w:t>
      </w:r>
      <w:r>
        <w:rPr>
          <w:rFonts w:hint="eastAsia"/>
        </w:rPr>
        <w:t>作为商业秘密的经营信息一般包括：</w:t>
      </w:r>
    </w:p>
    <w:p>
      <w:pPr>
        <w:widowControl w:val="0"/>
        <w:numPr>
          <w:ilvl w:val="0"/>
          <w:numId w:val="2"/>
        </w:numPr>
        <w:spacing w:line="312" w:lineRule="auto"/>
        <w:ind w:left="993" w:hanging="709"/>
        <w:jc w:val="both"/>
        <w:rPr>
          <w:rFonts w:ascii="仿宋" w:hAnsi="仿宋" w:eastAsia="仿宋"/>
        </w:rPr>
      </w:pPr>
      <w:r>
        <w:rPr>
          <w:rFonts w:hint="eastAsia" w:ascii="仿宋" w:hAnsi="仿宋" w:eastAsia="仿宋"/>
        </w:rPr>
        <w:t>公司就经营管理作出的重大决策中的秘密信息；</w:t>
      </w:r>
    </w:p>
    <w:p>
      <w:pPr>
        <w:widowControl w:val="0"/>
        <w:numPr>
          <w:ilvl w:val="0"/>
          <w:numId w:val="2"/>
        </w:numPr>
        <w:spacing w:line="312" w:lineRule="auto"/>
        <w:ind w:left="993" w:hanging="709"/>
        <w:jc w:val="both"/>
        <w:rPr>
          <w:rFonts w:ascii="仿宋" w:hAnsi="仿宋" w:eastAsia="仿宋"/>
        </w:rPr>
      </w:pPr>
      <w:r>
        <w:rPr>
          <w:rFonts w:hint="eastAsia" w:ascii="仿宋" w:hAnsi="仿宋" w:eastAsia="仿宋"/>
        </w:rPr>
        <w:t>公司总体发展规划、经营战略、营销策略相关秘密信息；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r>
        <w:rPr>
          <w:rFonts w:hint="eastAsia" w:ascii="仿宋" w:hAnsi="仿宋" w:eastAsia="仿宋"/>
        </w:rPr>
        <w:t>公司采购计划、采购渠道、采购价格、产品定价、供应商信息、招投标信息；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r>
        <w:rPr>
          <w:rFonts w:hint="eastAsia" w:ascii="仿宋" w:hAnsi="仿宋" w:eastAsia="仿宋"/>
        </w:rPr>
        <w:t>公司客户和潜在客户（准客户）的名称、姓名、联系方式、交易意向、客户需求、客户报价资料信息；</w:t>
      </w:r>
    </w:p>
    <w:p>
      <w:pPr>
        <w:widowControl w:val="0"/>
        <w:numPr>
          <w:ilvl w:val="0"/>
          <w:numId w:val="2"/>
        </w:numPr>
        <w:spacing w:line="312" w:lineRule="auto"/>
        <w:ind w:left="993" w:hanging="709"/>
        <w:jc w:val="both"/>
        <w:rPr>
          <w:rFonts w:ascii="仿宋" w:hAnsi="仿宋" w:eastAsia="仿宋"/>
        </w:rPr>
      </w:pPr>
      <w:r>
        <w:rPr>
          <w:rFonts w:hint="eastAsia" w:ascii="仿宋" w:hAnsi="仿宋" w:eastAsia="仿宋"/>
        </w:rPr>
        <w:t>公司作为商业秘密的商务谈判内容信息；</w:t>
      </w:r>
    </w:p>
    <w:p>
      <w:pPr>
        <w:widowControl w:val="0"/>
        <w:numPr>
          <w:ilvl w:val="0"/>
          <w:numId w:val="2"/>
        </w:numPr>
        <w:spacing w:line="312" w:lineRule="auto"/>
        <w:ind w:left="993" w:hanging="709"/>
        <w:jc w:val="both"/>
        <w:rPr>
          <w:rFonts w:ascii="仿宋" w:hAnsi="仿宋" w:eastAsia="仿宋"/>
        </w:rPr>
      </w:pPr>
      <w:r>
        <w:rPr>
          <w:rFonts w:hint="eastAsia" w:ascii="仿宋" w:hAnsi="仿宋" w:eastAsia="仿宋"/>
        </w:rPr>
        <w:t>公司作为商业秘密的合同/协议内容信息；</w:t>
      </w:r>
    </w:p>
    <w:p>
      <w:pPr>
        <w:widowControl w:val="0"/>
        <w:numPr>
          <w:ilvl w:val="0"/>
          <w:numId w:val="2"/>
        </w:numPr>
        <w:spacing w:line="312" w:lineRule="auto"/>
        <w:ind w:left="993" w:hanging="709"/>
        <w:jc w:val="both"/>
        <w:rPr>
          <w:rFonts w:ascii="仿宋" w:hAnsi="仿宋" w:eastAsia="仿宋"/>
        </w:rPr>
      </w:pPr>
      <w:r>
        <w:rPr>
          <w:rFonts w:hint="eastAsia" w:ascii="仿宋" w:hAnsi="仿宋" w:eastAsia="仿宋"/>
        </w:rPr>
        <w:t>公司作为商业秘密的财务信息；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r>
        <w:rPr>
          <w:rFonts w:hint="eastAsia" w:ascii="仿宋" w:hAnsi="仿宋" w:eastAsia="仿宋"/>
        </w:rPr>
        <w:t>公司对外业务交流活动中作为商业秘密的经营信息；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r>
        <w:rPr>
          <w:rFonts w:hint="eastAsia" w:ascii="仿宋" w:hAnsi="仿宋" w:eastAsia="仿宋"/>
        </w:rPr>
        <w:t>公司对外承担保密义务而需要保密的经营信息；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r>
        <w:rPr>
          <w:rFonts w:hint="eastAsia" w:ascii="仿宋" w:hAnsi="仿宋" w:eastAsia="仿宋"/>
        </w:rPr>
        <w:t>公司员工人事档案、薪金信息，尚未确定的公司重要人事调整及安排信息；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r>
        <w:rPr>
          <w:rFonts w:hint="eastAsia" w:ascii="仿宋" w:hAnsi="仿宋" w:eastAsia="仿宋"/>
        </w:rPr>
        <w:t>公司市场调查报告、品牌或产品策略、营销计划或方案内容信息；</w:t>
      </w:r>
    </w:p>
    <w:p>
      <w:pPr>
        <w:widowControl w:val="0"/>
        <w:numPr>
          <w:ilvl w:val="0"/>
          <w:numId w:val="2"/>
        </w:numPr>
        <w:tabs>
          <w:tab w:val="left" w:pos="851"/>
          <w:tab w:val="left" w:pos="993"/>
        </w:tabs>
        <w:spacing w:line="312" w:lineRule="auto"/>
        <w:ind w:left="0" w:firstLine="283" w:firstLineChars="118"/>
        <w:jc w:val="both"/>
        <w:rPr>
          <w:rFonts w:ascii="仿宋" w:hAnsi="仿宋" w:eastAsia="仿宋"/>
        </w:rPr>
      </w:pPr>
      <w:bookmarkStart w:id="16" w:name="_Hlk61977196"/>
      <w:r>
        <w:rPr>
          <w:rFonts w:hint="eastAsia" w:ascii="仿宋" w:hAnsi="仿宋" w:eastAsia="仿宋"/>
        </w:rPr>
        <w:t>公司其他需要保密或标明保密的经营信息。</w:t>
      </w:r>
      <w:r>
        <w:rPr>
          <w:rFonts w:ascii="仿宋" w:hAnsi="仿宋" w:eastAsia="仿宋"/>
        </w:rPr>
        <w:t xml:space="preserve">   </w:t>
      </w:r>
      <w:bookmarkEnd w:id="16"/>
    </w:p>
    <w:p>
      <w:pPr>
        <w:pStyle w:val="3"/>
        <w:spacing w:after="0" w:line="312" w:lineRule="auto"/>
        <w:jc w:val="center"/>
        <w:rPr>
          <w:sz w:val="24"/>
          <w:szCs w:val="24"/>
        </w:rPr>
      </w:pPr>
      <w:bookmarkStart w:id="17" w:name="_Toc122294616"/>
      <w:r>
        <w:rPr>
          <w:rFonts w:hint="eastAsia"/>
          <w:sz w:val="24"/>
          <w:szCs w:val="24"/>
        </w:rPr>
        <w:t>第五节 商业秘密的构成要件</w:t>
      </w:r>
      <w:bookmarkEnd w:id="17"/>
    </w:p>
    <w:p>
      <w:pPr>
        <w:pStyle w:val="51"/>
        <w:tabs>
          <w:tab w:val="left" w:pos="709"/>
          <w:tab w:val="left" w:pos="851"/>
          <w:tab w:val="left" w:pos="1134"/>
        </w:tabs>
        <w:spacing w:line="312" w:lineRule="auto"/>
        <w:ind w:left="422" w:leftChars="176" w:firstLine="0" w:firstLineChars="0"/>
        <w:rPr>
          <w:rFonts w:ascii="仿宋" w:hAnsi="仿宋" w:eastAsia="仿宋"/>
          <w:b/>
        </w:rPr>
      </w:pPr>
      <w:r>
        <w:rPr>
          <w:rFonts w:hint="eastAsia" w:ascii="仿宋" w:hAnsi="仿宋" w:eastAsia="仿宋"/>
          <w:b/>
          <w:sz w:val="24"/>
          <w:lang w:eastAsia="zh-Hans"/>
        </w:rPr>
        <w:t>第</w:t>
      </w:r>
      <w:r>
        <w:rPr>
          <w:rFonts w:ascii="仿宋" w:hAnsi="仿宋" w:eastAsia="仿宋"/>
          <w:b/>
          <w:sz w:val="24"/>
          <w:lang w:eastAsia="zh-Hans"/>
        </w:rPr>
        <w:t>9</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【商业秘密的构成要件】</w:t>
      </w:r>
    </w:p>
    <w:p>
      <w:pPr>
        <w:pStyle w:val="50"/>
        <w:spacing w:line="312" w:lineRule="auto"/>
        <w:jc w:val="both"/>
      </w:pPr>
      <w:r>
        <w:rPr>
          <w:rFonts w:hint="eastAsia"/>
        </w:rPr>
        <w:t>9</w:t>
      </w:r>
      <w:r>
        <w:t>.1</w:t>
      </w:r>
      <w:r>
        <w:rPr>
          <w:rFonts w:hint="eastAsia"/>
        </w:rPr>
        <w:t>商业秘密的构成要件是判断某项信息是否构成商业秘密的标准，只有符合商业秘密构成要件才能作为商业秘密而被法律所保护，这是商业秘密民事诉讼的前提性问题，也是商业秘密民事诉讼的关键问题。</w:t>
      </w:r>
    </w:p>
    <w:p>
      <w:pPr>
        <w:pStyle w:val="50"/>
        <w:spacing w:line="312" w:lineRule="auto"/>
        <w:jc w:val="both"/>
      </w:pPr>
      <w:r>
        <w:rPr>
          <w:rFonts w:hint="eastAsia"/>
          <w:bCs/>
        </w:rPr>
        <w:t>9</w:t>
      </w:r>
      <w:r>
        <w:rPr>
          <w:bCs/>
        </w:rPr>
        <w:t xml:space="preserve">.2 </w:t>
      </w:r>
      <w:r>
        <w:rPr>
          <w:rFonts w:hint="eastAsia"/>
          <w:bCs/>
        </w:rPr>
        <w:t>《</w:t>
      </w:r>
      <w:r>
        <w:rPr>
          <w:rFonts w:hint="eastAsia"/>
        </w:rPr>
        <w:t>反不当竞争法》修订前对商业秘密有“实用性”的要求，修订后，对“实用性”不再作要求，商业秘密构成调整为三要件，即商业秘密的秘密性、保密措施与价值性。</w:t>
      </w:r>
    </w:p>
    <w:p>
      <w:pPr>
        <w:pStyle w:val="50"/>
        <w:spacing w:line="312" w:lineRule="auto"/>
        <w:ind w:firstLine="361" w:firstLineChars="150"/>
        <w:jc w:val="both"/>
      </w:pPr>
      <w:r>
        <w:rPr>
          <w:rFonts w:hint="eastAsia"/>
          <w:b/>
        </w:rPr>
        <w:t>【法律规定】</w:t>
      </w:r>
      <w:r>
        <w:rPr>
          <w:rFonts w:hint="eastAsia"/>
        </w:rPr>
        <w:t>《反不正当竞争法》第九条</w:t>
      </w:r>
    </w:p>
    <w:p>
      <w:pPr>
        <w:pStyle w:val="51"/>
        <w:tabs>
          <w:tab w:val="left" w:pos="709"/>
          <w:tab w:val="left" w:pos="851"/>
          <w:tab w:val="left" w:pos="1134"/>
        </w:tabs>
        <w:spacing w:line="312" w:lineRule="auto"/>
        <w:ind w:firstLine="48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10</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【商业秘密的秘密性】</w:t>
      </w:r>
    </w:p>
    <w:p>
      <w:pPr>
        <w:pStyle w:val="50"/>
        <w:spacing w:line="312" w:lineRule="auto"/>
        <w:jc w:val="both"/>
      </w:pPr>
      <w:r>
        <w:rPr>
          <w:rFonts w:hint="eastAsia"/>
        </w:rPr>
        <w:t>1</w:t>
      </w:r>
      <w:r>
        <w:t>0.1 商业秘密的</w:t>
      </w:r>
      <w:r>
        <w:rPr>
          <w:rFonts w:hint="eastAsia"/>
        </w:rPr>
        <w:t>秘密性是指作为商业秘密的</w:t>
      </w:r>
      <w:r>
        <w:t>技术信息和经营</w:t>
      </w:r>
      <w:r>
        <w:rPr>
          <w:rFonts w:hint="eastAsia"/>
        </w:rPr>
        <w:t>信</w:t>
      </w:r>
      <w:r>
        <w:t>息，是在</w:t>
      </w:r>
      <w:r>
        <w:rPr>
          <w:rFonts w:hint="eastAsia"/>
        </w:rPr>
        <w:t>某领域而不为公众所</w:t>
      </w:r>
      <w:r>
        <w:t>知悉的</w:t>
      </w:r>
      <w:r>
        <w:rPr>
          <w:rFonts w:hint="eastAsia"/>
        </w:rPr>
        <w:t>，</w:t>
      </w:r>
      <w:r>
        <w:t>商业秘密的“秘密性”是相对的</w:t>
      </w:r>
      <w:r>
        <w:rPr>
          <w:rFonts w:hint="eastAsia"/>
        </w:rPr>
        <w:t>。权利人请求保护的信息在被诉侵权行为发生时不为所属领域相关人员普遍知悉和容易获得的，人民法院应当认定为《反不正当竞争法》第九条第四款所称的不为公众所知悉。</w:t>
      </w:r>
    </w:p>
    <w:p>
      <w:pPr>
        <w:pStyle w:val="50"/>
        <w:spacing w:line="312" w:lineRule="auto"/>
        <w:jc w:val="both"/>
      </w:pPr>
      <w:r>
        <w:rPr>
          <w:rFonts w:hint="eastAsia"/>
        </w:rPr>
        <w:t>1</w:t>
      </w:r>
      <w:r>
        <w:t>0.2  “</w:t>
      </w:r>
      <w:r>
        <w:rPr>
          <w:rFonts w:hint="eastAsia"/>
        </w:rPr>
        <w:t>不为公众所知悉</w:t>
      </w:r>
      <w:r>
        <w:t>”</w:t>
      </w:r>
      <w:r>
        <w:rPr>
          <w:rFonts w:hint="eastAsia"/>
        </w:rPr>
        <w:t>中的“公众</w:t>
      </w:r>
      <w:r>
        <w:t>”</w:t>
      </w:r>
      <w:r>
        <w:rPr>
          <w:rFonts w:hint="eastAsia"/>
        </w:rPr>
        <w:t>是相对的，是指在商业秘密所属领域的人员，知悉范围人员一般为具有竞争关系的同行业、同领域人员。</w:t>
      </w:r>
    </w:p>
    <w:p>
      <w:pPr>
        <w:pStyle w:val="50"/>
        <w:spacing w:line="312" w:lineRule="auto"/>
        <w:jc w:val="both"/>
      </w:pPr>
      <w:r>
        <w:rPr>
          <w:rFonts w:hint="eastAsia"/>
        </w:rPr>
        <w:t>1</w:t>
      </w:r>
      <w:r>
        <w:t>0.3 商业秘密的“秘密性”不同于专利技术对“新颖性”的绝对要求，对专利技术的</w:t>
      </w:r>
      <w:r>
        <w:rPr>
          <w:rFonts w:hint="eastAsia"/>
        </w:rPr>
        <w:t>新颖性以</w:t>
      </w:r>
      <w:r>
        <w:t>现有技术</w:t>
      </w:r>
      <w:r>
        <w:rPr>
          <w:rFonts w:hint="eastAsia"/>
        </w:rPr>
        <w:t>作为对比标准</w:t>
      </w:r>
      <w:r>
        <w:t>，而对商业秘密的</w:t>
      </w:r>
      <w:r>
        <w:rPr>
          <w:rFonts w:hint="eastAsia"/>
        </w:rPr>
        <w:t>秘密性则以是否为公众所知悉为标准，商业秘密的秘密性不能完全按照专利新颖性标准来要求。</w:t>
      </w:r>
    </w:p>
    <w:p>
      <w:pPr>
        <w:pStyle w:val="50"/>
        <w:spacing w:line="312" w:lineRule="auto"/>
        <w:jc w:val="both"/>
      </w:pPr>
      <w:r>
        <w:rPr>
          <w:rFonts w:hint="eastAsia"/>
        </w:rPr>
        <w:t>1</w:t>
      </w:r>
      <w:r>
        <w:t>0.4 商业秘密的秘密性，又不同于著作权对独创性的要求，著作权保护的是构思的表达</w:t>
      </w:r>
      <w:r>
        <w:rPr>
          <w:rFonts w:hint="eastAsia"/>
        </w:rPr>
        <w:t>方</w:t>
      </w:r>
      <w:r>
        <w:t>式，对构思本身</w:t>
      </w:r>
      <w:r>
        <w:rPr>
          <w:rFonts w:hint="eastAsia"/>
        </w:rPr>
        <w:t>不作</w:t>
      </w:r>
      <w:r>
        <w:t>保护</w:t>
      </w:r>
      <w:r>
        <w:rPr>
          <w:rFonts w:hint="eastAsia"/>
        </w:rPr>
        <w:t>。</w:t>
      </w:r>
      <w:r>
        <w:t>而商业秘密</w:t>
      </w:r>
      <w:r>
        <w:rPr>
          <w:rFonts w:hint="eastAsia"/>
        </w:rPr>
        <w:t>是对设计作品中的</w:t>
      </w:r>
      <w:r>
        <w:t>技术方案、程序、工艺等具有</w:t>
      </w:r>
      <w:r>
        <w:rPr>
          <w:rFonts w:hint="eastAsia"/>
        </w:rPr>
        <w:t>经济</w:t>
      </w:r>
      <w:r>
        <w:t>价值</w:t>
      </w:r>
      <w:r>
        <w:rPr>
          <w:rFonts w:hint="eastAsia"/>
        </w:rPr>
        <w:t>的信息内容本身加以保护。</w:t>
      </w:r>
    </w:p>
    <w:p>
      <w:pPr>
        <w:pStyle w:val="50"/>
        <w:spacing w:line="312" w:lineRule="auto"/>
        <w:jc w:val="both"/>
      </w:pPr>
      <w:r>
        <w:t xml:space="preserve">10.5 </w:t>
      </w:r>
      <w:r>
        <w:rPr>
          <w:rFonts w:hint="eastAsia"/>
        </w:rPr>
        <w:t>可以认定有关信息为公众所知悉</w:t>
      </w:r>
      <w:r>
        <w:t>的情形：</w:t>
      </w:r>
      <w:r>
        <w:rPr>
          <w:rFonts w:hint="eastAsia" w:ascii="宋体" w:hAnsi="宋体" w:cs="宋体"/>
          <w:color w:val="000000"/>
          <w:kern w:val="0"/>
          <w:szCs w:val="21"/>
        </w:rPr>
        <w:br w:type="textWrapping"/>
      </w:r>
      <w:r>
        <w:rPr>
          <w:rFonts w:hint="eastAsia"/>
        </w:rPr>
        <w:t>　 （1）该信息在所属领域属于一般常识或者行业惯例的；</w:t>
      </w:r>
      <w:r>
        <w:rPr>
          <w:rFonts w:hint="eastAsia"/>
        </w:rPr>
        <w:br w:type="textWrapping"/>
      </w:r>
      <w:r>
        <w:rPr>
          <w:rFonts w:hint="eastAsia"/>
        </w:rPr>
        <w:t>　 （2）该信息仅涉及产品的尺寸、结构、材料、部件的简单组合等内容，所属领域的相关人员通过观察上市产品即可直接获得的；</w:t>
      </w:r>
      <w:r>
        <w:rPr>
          <w:rFonts w:hint="eastAsia"/>
        </w:rPr>
        <w:br w:type="textWrapping"/>
      </w:r>
      <w:r>
        <w:rPr>
          <w:rFonts w:hint="eastAsia"/>
        </w:rPr>
        <w:t>　 （</w:t>
      </w:r>
      <w:r>
        <w:t>3</w:t>
      </w:r>
      <w:r>
        <w:rPr>
          <w:rFonts w:hint="eastAsia"/>
        </w:rPr>
        <w:t>）该信息已经在公开出版物或者其他媒体上公开披露的；</w:t>
      </w:r>
      <w:r>
        <w:rPr>
          <w:rFonts w:hint="eastAsia"/>
        </w:rPr>
        <w:br w:type="textWrapping"/>
      </w:r>
      <w:r>
        <w:rPr>
          <w:rFonts w:hint="eastAsia"/>
        </w:rPr>
        <w:t>　 （4）该信息已通过公开的报告会、展览等方式公开的；</w:t>
      </w:r>
      <w:r>
        <w:rPr>
          <w:rFonts w:hint="eastAsia"/>
        </w:rPr>
        <w:br w:type="textWrapping"/>
      </w:r>
      <w:r>
        <w:rPr>
          <w:rFonts w:hint="eastAsia"/>
        </w:rPr>
        <w:t>　 （5）所属领域的相关人员从其他公开渠道可以获得该信息的。</w:t>
      </w:r>
      <w:r>
        <w:rPr>
          <w:rFonts w:hint="eastAsia"/>
        </w:rPr>
        <w:br w:type="textWrapping"/>
      </w:r>
      <w:r>
        <w:rPr>
          <w:rFonts w:hint="eastAsia"/>
        </w:rPr>
        <w:t>　　将为公众所知悉的信息进行整理、改进、加工后形成的新信息，符合</w:t>
      </w:r>
      <w:r>
        <w:rPr>
          <w:rFonts w:hint="eastAsia"/>
          <w:lang w:eastAsia="zh-Hans"/>
        </w:rPr>
        <w:t>不为所属领域的相关人员普遍知悉和容易获得</w:t>
      </w:r>
      <w:r>
        <w:rPr>
          <w:rFonts w:hint="eastAsia"/>
        </w:rPr>
        <w:t>的，应当认定该新信息不为公众所知悉。</w:t>
      </w:r>
    </w:p>
    <w:p>
      <w:pPr>
        <w:pStyle w:val="50"/>
        <w:spacing w:line="312" w:lineRule="auto"/>
        <w:ind w:firstLine="361" w:firstLineChars="150"/>
        <w:jc w:val="both"/>
      </w:pPr>
      <w:r>
        <w:rPr>
          <w:rFonts w:hint="eastAsia"/>
          <w:b/>
        </w:rPr>
        <w:t>【法律规定】</w:t>
      </w:r>
      <w:r>
        <w:rPr>
          <w:rFonts w:hint="eastAsia"/>
        </w:rPr>
        <w:t>《反不正当竞争法》第九条、《</w:t>
      </w:r>
      <w:r>
        <w:rPr>
          <w:bCs/>
        </w:rPr>
        <w:t>最高人民法院关于审理侵犯商业秘密民事案件适用法律若干问题的规定</w:t>
      </w:r>
      <w:r>
        <w:rPr>
          <w:rFonts w:hint="eastAsia"/>
          <w:bCs/>
        </w:rPr>
        <w:t>》第三条、第四条。</w:t>
      </w:r>
    </w:p>
    <w:p>
      <w:pPr>
        <w:tabs>
          <w:tab w:val="left" w:pos="709"/>
          <w:tab w:val="left" w:pos="851"/>
          <w:tab w:val="left" w:pos="1134"/>
        </w:tabs>
        <w:spacing w:line="312" w:lineRule="auto"/>
        <w:ind w:firstLine="420" w:firstLineChars="150"/>
        <w:rPr>
          <w:rFonts w:ascii="仿宋" w:hAnsi="仿宋" w:eastAsia="仿宋"/>
        </w:rPr>
      </w:pPr>
      <w:r>
        <w:rPr>
          <w:rFonts w:hint="eastAsia" w:ascii="仿宋" w:hAnsi="仿宋" w:eastAsia="仿宋"/>
          <w:sz w:val="28"/>
          <w:szCs w:val="28"/>
          <w:lang w:eastAsia="zh-Hans"/>
        </w:rPr>
        <w:t>【</w:t>
      </w:r>
      <w:r>
        <w:rPr>
          <w:rFonts w:hint="eastAsia" w:ascii="仿宋" w:hAnsi="仿宋" w:eastAsia="仿宋"/>
          <w:b/>
        </w:rPr>
        <w:t>参考案例</w:t>
      </w:r>
      <w:r>
        <w:rPr>
          <w:rFonts w:hint="eastAsia" w:ascii="仿宋" w:hAnsi="仿宋" w:eastAsia="仿宋"/>
          <w:sz w:val="28"/>
          <w:szCs w:val="28"/>
          <w:lang w:eastAsia="zh-Hans"/>
        </w:rPr>
        <w:t>】</w:t>
      </w:r>
      <w:r>
        <w:rPr>
          <w:rFonts w:hint="eastAsia" w:ascii="仿宋" w:hAnsi="仿宋" w:eastAsia="仿宋"/>
        </w:rPr>
        <w:t>最高人民法院：（</w:t>
      </w:r>
      <w:r>
        <w:rPr>
          <w:rFonts w:ascii="仿宋" w:hAnsi="仿宋" w:eastAsia="仿宋"/>
        </w:rPr>
        <w:t>2016）最高法民申2206号</w:t>
      </w:r>
      <w:r>
        <w:rPr>
          <w:rFonts w:hint="eastAsia" w:ascii="仿宋" w:hAnsi="仿宋" w:eastAsia="仿宋"/>
        </w:rPr>
        <w:t>——认定具有秘密性；（2016）最高法民申2161号——认定不具有秘密性。</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11</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【商业秘密的保密性】</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w:t>
      </w:r>
      <w:r>
        <w:rPr>
          <w:rFonts w:ascii="仿宋" w:hAnsi="仿宋" w:eastAsia="仿宋"/>
        </w:rPr>
        <w:t xml:space="preserve">1.1 </w:t>
      </w:r>
      <w:r>
        <w:rPr>
          <w:rFonts w:hint="eastAsia" w:ascii="仿宋" w:hAnsi="仿宋" w:eastAsia="仿宋"/>
        </w:rPr>
        <w:t>商业秘密的</w:t>
      </w:r>
      <w:r>
        <w:rPr>
          <w:rFonts w:ascii="仿宋" w:hAnsi="仿宋" w:eastAsia="仿宋"/>
        </w:rPr>
        <w:t>保密性，即商业秘密权利人采取的与商业秘密信息相适应的合理的保密措施。</w:t>
      </w:r>
      <w:r>
        <w:rPr>
          <w:rFonts w:ascii="Calibri" w:hAnsi="Calibri" w:eastAsia="仿宋" w:cs="Calibri"/>
        </w:rPr>
        <w:t>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w:t>
      </w:r>
      <w:r>
        <w:rPr>
          <w:rFonts w:ascii="仿宋" w:hAnsi="仿宋" w:eastAsia="仿宋"/>
        </w:rPr>
        <w:t xml:space="preserve">1.2 </w:t>
      </w:r>
      <w:r>
        <w:rPr>
          <w:rFonts w:hint="eastAsia" w:ascii="仿宋" w:hAnsi="仿宋" w:eastAsia="仿宋"/>
        </w:rPr>
        <w:t>客观上，权利人对商业秘密采取的保</w:t>
      </w:r>
      <w:r>
        <w:rPr>
          <w:rFonts w:ascii="仿宋" w:hAnsi="仿宋" w:eastAsia="仿宋"/>
        </w:rPr>
        <w:t>密措施</w:t>
      </w:r>
      <w:r>
        <w:rPr>
          <w:rFonts w:hint="eastAsia" w:ascii="仿宋" w:hAnsi="仿宋" w:eastAsia="仿宋"/>
        </w:rPr>
        <w:t>并</w:t>
      </w:r>
      <w:r>
        <w:rPr>
          <w:rFonts w:ascii="仿宋" w:hAnsi="仿宋" w:eastAsia="仿宋"/>
        </w:rPr>
        <w:t>不要求是绝对</w:t>
      </w:r>
      <w:r>
        <w:rPr>
          <w:rFonts w:hint="eastAsia" w:ascii="仿宋" w:hAnsi="仿宋" w:eastAsia="仿宋"/>
        </w:rPr>
        <w:t>无缺陷的</w:t>
      </w:r>
      <w:r>
        <w:rPr>
          <w:rFonts w:ascii="仿宋" w:hAnsi="仿宋" w:eastAsia="仿宋"/>
        </w:rPr>
        <w:t>措施</w:t>
      </w:r>
      <w:r>
        <w:rPr>
          <w:rFonts w:hint="eastAsia" w:ascii="仿宋" w:hAnsi="仿宋" w:eastAsia="仿宋"/>
        </w:rPr>
        <w:t>。在正常情况下足以防止商业秘密泄露的下列情形，可认定为权利人采取了保密措施的情形为：</w:t>
      </w:r>
    </w:p>
    <w:p>
      <w:pPr>
        <w:tabs>
          <w:tab w:val="left" w:pos="709"/>
          <w:tab w:val="left" w:pos="851"/>
          <w:tab w:val="left" w:pos="1134"/>
        </w:tabs>
        <w:spacing w:line="312" w:lineRule="auto"/>
        <w:ind w:firstLine="360" w:firstLineChars="150"/>
        <w:rPr>
          <w:rFonts w:ascii="仿宋" w:hAnsi="仿宋" w:eastAsia="仿宋"/>
        </w:rPr>
      </w:pPr>
      <w:r>
        <w:rPr>
          <w:rFonts w:hint="eastAsia" w:ascii="仿宋" w:hAnsi="仿宋" w:eastAsia="仿宋"/>
        </w:rPr>
        <w:t>（1）</w:t>
      </w:r>
      <w:r>
        <w:rPr>
          <w:rFonts w:ascii="仿宋" w:hAnsi="仿宋" w:eastAsia="仿宋"/>
        </w:rPr>
        <w:t xml:space="preserve"> </w:t>
      </w:r>
      <w:r>
        <w:rPr>
          <w:rFonts w:hint="eastAsia" w:ascii="仿宋" w:hAnsi="仿宋" w:eastAsia="仿宋"/>
        </w:rPr>
        <w:t>签订保密协议或者在合同中约定了保密义务的；</w:t>
      </w:r>
      <w:r>
        <w:rPr>
          <w:rFonts w:hint="eastAsia" w:ascii="仿宋" w:hAnsi="仿宋" w:eastAsia="仿宋"/>
        </w:rPr>
        <w:br w:type="textWrapping"/>
      </w:r>
      <w:r>
        <w:rPr>
          <w:rFonts w:hint="eastAsia" w:ascii="仿宋" w:hAnsi="仿宋" w:eastAsia="仿宋"/>
        </w:rPr>
        <w:t>　 （2）</w:t>
      </w:r>
      <w:r>
        <w:rPr>
          <w:rFonts w:ascii="仿宋" w:hAnsi="仿宋" w:eastAsia="仿宋"/>
        </w:rPr>
        <w:t xml:space="preserve"> </w:t>
      </w:r>
      <w:r>
        <w:rPr>
          <w:rFonts w:hint="eastAsia" w:ascii="仿宋" w:hAnsi="仿宋" w:eastAsia="仿宋"/>
        </w:rPr>
        <w:t>通过章程、培训、规章制度、书面告知等方式，对能够接触、获取商业秘密的员工、前员工、供应商、客户、来访者等提出保密要求的；</w:t>
      </w:r>
      <w:r>
        <w:rPr>
          <w:rFonts w:hint="eastAsia" w:ascii="仿宋" w:hAnsi="仿宋" w:eastAsia="仿宋"/>
        </w:rPr>
        <w:br w:type="textWrapping"/>
      </w:r>
      <w:r>
        <w:rPr>
          <w:rFonts w:hint="eastAsia" w:ascii="仿宋" w:hAnsi="仿宋" w:eastAsia="仿宋"/>
        </w:rPr>
        <w:t>　 （3）</w:t>
      </w:r>
      <w:r>
        <w:rPr>
          <w:rFonts w:ascii="仿宋" w:hAnsi="仿宋" w:eastAsia="仿宋"/>
        </w:rPr>
        <w:t xml:space="preserve"> </w:t>
      </w:r>
      <w:r>
        <w:rPr>
          <w:rFonts w:hint="eastAsia" w:ascii="仿宋" w:hAnsi="仿宋" w:eastAsia="仿宋"/>
        </w:rPr>
        <w:t>对涉密的厂房、车间等生产经营场所限制来访者或者进行区分管理的；</w:t>
      </w:r>
      <w:r>
        <w:rPr>
          <w:rFonts w:hint="eastAsia" w:ascii="仿宋" w:hAnsi="仿宋" w:eastAsia="仿宋"/>
        </w:rPr>
        <w:br w:type="textWrapping"/>
      </w:r>
      <w:r>
        <w:rPr>
          <w:rFonts w:hint="eastAsia" w:ascii="仿宋" w:hAnsi="仿宋" w:eastAsia="仿宋"/>
        </w:rPr>
        <w:t>　 （4）</w:t>
      </w:r>
      <w:r>
        <w:rPr>
          <w:rFonts w:ascii="仿宋" w:hAnsi="仿宋" w:eastAsia="仿宋"/>
        </w:rPr>
        <w:t xml:space="preserve"> </w:t>
      </w:r>
      <w:r>
        <w:rPr>
          <w:rFonts w:hint="eastAsia" w:ascii="仿宋" w:hAnsi="仿宋" w:eastAsia="仿宋"/>
        </w:rPr>
        <w:t>以标记、分类、隔离、加密等方式，限制能够接触或者获取商业秘密的人员范围，对商业秘密及其载体进行区分和管理的；</w:t>
      </w:r>
      <w:r>
        <w:rPr>
          <w:rFonts w:hint="eastAsia" w:ascii="仿宋" w:hAnsi="仿宋" w:eastAsia="仿宋"/>
        </w:rPr>
        <w:br w:type="textWrapping"/>
      </w:r>
      <w:r>
        <w:rPr>
          <w:rFonts w:hint="eastAsia" w:ascii="仿宋" w:hAnsi="仿宋" w:eastAsia="仿宋"/>
        </w:rPr>
        <w:t>　 （5）</w:t>
      </w:r>
      <w:r>
        <w:rPr>
          <w:rFonts w:ascii="仿宋" w:hAnsi="仿宋" w:eastAsia="仿宋"/>
        </w:rPr>
        <w:t xml:space="preserve"> </w:t>
      </w:r>
      <w:r>
        <w:rPr>
          <w:rFonts w:hint="eastAsia" w:ascii="仿宋" w:hAnsi="仿宋" w:eastAsia="仿宋"/>
        </w:rPr>
        <w:t>对能够接触、获取商业秘密的计算机设备、电子设备、网络设备、存储设备、软件等，采取禁止或者限制使用、访问、存储、复制等措施的；</w:t>
      </w:r>
      <w:r>
        <w:rPr>
          <w:rFonts w:hint="eastAsia" w:ascii="仿宋" w:hAnsi="仿宋" w:eastAsia="仿宋"/>
        </w:rPr>
        <w:br w:type="textWrapping"/>
      </w:r>
      <w:r>
        <w:rPr>
          <w:rFonts w:hint="eastAsia" w:ascii="仿宋" w:hAnsi="仿宋" w:eastAsia="仿宋"/>
        </w:rPr>
        <w:t>　 （6）</w:t>
      </w:r>
      <w:r>
        <w:rPr>
          <w:rFonts w:ascii="仿宋" w:hAnsi="仿宋" w:eastAsia="仿宋"/>
        </w:rPr>
        <w:t xml:space="preserve"> </w:t>
      </w:r>
      <w:r>
        <w:rPr>
          <w:rFonts w:hint="eastAsia" w:ascii="仿宋" w:hAnsi="仿宋" w:eastAsia="仿宋"/>
        </w:rPr>
        <w:t>要求离职员工登记、返还、清除、销毁其接触或者获取的商业秘密及其载体；</w:t>
      </w:r>
      <w:r>
        <w:rPr>
          <w:rFonts w:hint="eastAsia" w:ascii="仿宋" w:hAnsi="仿宋" w:eastAsia="仿宋"/>
        </w:rPr>
        <w:br w:type="textWrapping"/>
      </w:r>
      <w:r>
        <w:rPr>
          <w:rFonts w:hint="eastAsia" w:ascii="仿宋" w:hAnsi="仿宋" w:eastAsia="仿宋"/>
        </w:rPr>
        <w:t>　 （7）</w:t>
      </w:r>
      <w:r>
        <w:rPr>
          <w:rFonts w:ascii="仿宋" w:hAnsi="仿宋" w:eastAsia="仿宋"/>
        </w:rPr>
        <w:t xml:space="preserve"> </w:t>
      </w:r>
      <w:r>
        <w:rPr>
          <w:rFonts w:hint="eastAsia" w:ascii="仿宋" w:hAnsi="仿宋" w:eastAsia="仿宋"/>
        </w:rPr>
        <w:t>采取其他合理保密措施的。</w:t>
      </w:r>
    </w:p>
    <w:p>
      <w:pPr>
        <w:tabs>
          <w:tab w:val="left" w:pos="709"/>
          <w:tab w:val="left" w:pos="851"/>
          <w:tab w:val="left" w:pos="1134"/>
        </w:tabs>
        <w:spacing w:line="312" w:lineRule="auto"/>
        <w:ind w:firstLine="360" w:firstLineChars="150"/>
        <w:rPr>
          <w:rFonts w:ascii="仿宋" w:hAnsi="仿宋" w:eastAsia="仿宋"/>
        </w:rPr>
      </w:pPr>
      <w:r>
        <w:rPr>
          <w:rFonts w:hint="eastAsia" w:ascii="仿宋" w:hAnsi="仿宋" w:eastAsia="仿宋"/>
        </w:rPr>
        <w:t xml:space="preserve"> 1</w:t>
      </w:r>
      <w:r>
        <w:rPr>
          <w:rFonts w:ascii="仿宋" w:hAnsi="仿宋" w:eastAsia="仿宋"/>
        </w:rPr>
        <w:t xml:space="preserve">1.3 </w:t>
      </w:r>
      <w:r>
        <w:rPr>
          <w:rFonts w:hint="eastAsia" w:ascii="仿宋" w:hAnsi="仿宋" w:eastAsia="仿宋"/>
        </w:rPr>
        <w:t>权利人为防止信息泄漏所采取的与其商业价值等具体情况相适应的合理保密措施，可认定为商业秘密采取了保密措施。</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w:t>
      </w:r>
      <w:r>
        <w:rPr>
          <w:rFonts w:ascii="仿宋" w:hAnsi="仿宋" w:eastAsia="仿宋"/>
        </w:rPr>
        <w:t>1.4 商业秘密</w:t>
      </w:r>
      <w:r>
        <w:rPr>
          <w:rFonts w:hint="eastAsia" w:ascii="仿宋" w:hAnsi="仿宋" w:eastAsia="仿宋"/>
        </w:rPr>
        <w:t>的保密性具体可以</w:t>
      </w:r>
      <w:r>
        <w:rPr>
          <w:rFonts w:ascii="仿宋" w:hAnsi="仿宋" w:eastAsia="仿宋"/>
        </w:rPr>
        <w:t>根据</w:t>
      </w:r>
      <w:r>
        <w:rPr>
          <w:rFonts w:hint="eastAsia" w:ascii="仿宋" w:hAnsi="仿宋" w:eastAsia="仿宋"/>
        </w:rPr>
        <w:t>商业秘密及其载体的性质、商业秘密的商业价值、</w:t>
      </w:r>
      <w:r>
        <w:rPr>
          <w:rFonts w:ascii="仿宋" w:hAnsi="仿宋" w:eastAsia="仿宋"/>
        </w:rPr>
        <w:t>保密措施的可识别程度、</w:t>
      </w:r>
      <w:r>
        <w:rPr>
          <w:rFonts w:hint="eastAsia" w:ascii="仿宋" w:hAnsi="仿宋" w:eastAsia="仿宋"/>
        </w:rPr>
        <w:t>保密措施与商业秘密的对应程度以及权</w:t>
      </w:r>
      <w:r>
        <w:rPr>
          <w:rFonts w:ascii="仿宋" w:hAnsi="仿宋" w:eastAsia="仿宋"/>
        </w:rPr>
        <w:t>利人</w:t>
      </w:r>
      <w:r>
        <w:rPr>
          <w:rFonts w:hint="eastAsia" w:ascii="仿宋" w:hAnsi="仿宋" w:eastAsia="仿宋"/>
        </w:rPr>
        <w:t>的</w:t>
      </w:r>
      <w:r>
        <w:rPr>
          <w:rFonts w:ascii="仿宋" w:hAnsi="仿宋" w:eastAsia="仿宋"/>
        </w:rPr>
        <w:t>保密意愿等因素</w:t>
      </w:r>
      <w:r>
        <w:rPr>
          <w:rFonts w:hint="eastAsia" w:ascii="仿宋" w:hAnsi="仿宋" w:eastAsia="仿宋"/>
        </w:rPr>
        <w:t>来认定是否采取了合理的保密措施。</w:t>
      </w:r>
    </w:p>
    <w:p>
      <w:pPr>
        <w:tabs>
          <w:tab w:val="left" w:pos="709"/>
          <w:tab w:val="left" w:pos="851"/>
          <w:tab w:val="left" w:pos="1134"/>
        </w:tabs>
        <w:spacing w:line="312" w:lineRule="auto"/>
        <w:ind w:firstLine="241" w:firstLineChars="100"/>
        <w:rPr>
          <w:rFonts w:ascii="仿宋" w:hAnsi="仿宋" w:eastAsia="仿宋"/>
        </w:rPr>
      </w:pPr>
      <w:r>
        <w:rPr>
          <w:rFonts w:ascii="仿宋" w:hAnsi="仿宋" w:eastAsia="仿宋"/>
          <w:b/>
        </w:rPr>
        <w:t xml:space="preserve"> </w:t>
      </w:r>
      <w:r>
        <w:rPr>
          <w:rFonts w:hint="eastAsia" w:ascii="仿宋" w:hAnsi="仿宋" w:eastAsia="仿宋"/>
          <w:bCs/>
        </w:rPr>
        <w:t xml:space="preserve"> </w:t>
      </w:r>
      <w:r>
        <w:rPr>
          <w:rFonts w:ascii="仿宋" w:hAnsi="仿宋" w:eastAsia="仿宋"/>
          <w:bCs/>
        </w:rPr>
        <w:t>11.5</w:t>
      </w:r>
      <w:r>
        <w:rPr>
          <w:rFonts w:ascii="仿宋" w:hAnsi="仿宋" w:eastAsia="仿宋"/>
          <w:b/>
        </w:rPr>
        <w:t xml:space="preserve"> </w:t>
      </w:r>
      <w:r>
        <w:rPr>
          <w:rFonts w:hint="eastAsia" w:ascii="仿宋" w:hAnsi="仿宋" w:eastAsia="仿宋"/>
          <w:bCs/>
        </w:rPr>
        <w:t>如</w:t>
      </w:r>
      <w:r>
        <w:rPr>
          <w:rFonts w:hint="eastAsia" w:ascii="仿宋" w:hAnsi="仿宋" w:eastAsia="仿宋"/>
        </w:rPr>
        <w:t>果</w:t>
      </w:r>
      <w:r>
        <w:rPr>
          <w:rFonts w:ascii="仿宋" w:hAnsi="仿宋" w:eastAsia="仿宋"/>
        </w:rPr>
        <w:t>商业秘密权利人有意识地采取了相应的保密措施，并且在通常情况下能够保证</w:t>
      </w:r>
      <w:r>
        <w:rPr>
          <w:rFonts w:hint="eastAsia" w:ascii="仿宋" w:hAnsi="仿宋" w:eastAsia="仿宋"/>
        </w:rPr>
        <w:t>该</w:t>
      </w:r>
      <w:r>
        <w:rPr>
          <w:rFonts w:ascii="仿宋" w:hAnsi="仿宋" w:eastAsia="仿宋"/>
        </w:rPr>
        <w:t>商业秘密不致泄露</w:t>
      </w:r>
      <w:r>
        <w:rPr>
          <w:rFonts w:hint="eastAsia" w:ascii="仿宋" w:hAnsi="仿宋" w:eastAsia="仿宋"/>
        </w:rPr>
        <w:t>的</w:t>
      </w:r>
      <w:r>
        <w:rPr>
          <w:rFonts w:ascii="仿宋" w:hAnsi="仿宋" w:eastAsia="仿宋"/>
        </w:rPr>
        <w:t>，可以认定其采取的保密措施是</w:t>
      </w:r>
      <w:r>
        <w:rPr>
          <w:rFonts w:hint="eastAsia" w:ascii="仿宋" w:hAnsi="仿宋" w:eastAsia="仿宋"/>
        </w:rPr>
        <w:t>合理</w:t>
      </w:r>
      <w:r>
        <w:rPr>
          <w:rFonts w:ascii="仿宋" w:hAnsi="仿宋" w:eastAsia="仿宋"/>
        </w:rPr>
        <w:t>的</w:t>
      </w:r>
      <w:r>
        <w:rPr>
          <w:rFonts w:hint="eastAsia" w:ascii="仿宋" w:hAnsi="仿宋" w:eastAsia="仿宋"/>
        </w:rPr>
        <w:t>。权利人采取了与商业秘密的特性与重要程度相适应的保密措施，则可以认定其采取的保密措施是适当的。</w:t>
      </w:r>
    </w:p>
    <w:p>
      <w:pPr>
        <w:pStyle w:val="50"/>
        <w:spacing w:line="312" w:lineRule="auto"/>
        <w:ind w:firstLine="361" w:firstLineChars="150"/>
        <w:jc w:val="both"/>
      </w:pPr>
      <w:r>
        <w:rPr>
          <w:rFonts w:hint="eastAsia"/>
          <w:b/>
        </w:rPr>
        <w:t>【法律规定】</w:t>
      </w:r>
      <w:r>
        <w:rPr>
          <w:rFonts w:hint="eastAsia"/>
        </w:rPr>
        <w:t>《反不正当竞争法》第九条、《</w:t>
      </w:r>
      <w:r>
        <w:rPr>
          <w:bCs/>
        </w:rPr>
        <w:t>最高人民法院关于审理侵犯商业秘密民事案件适用法律若干问题的规定</w:t>
      </w:r>
      <w:r>
        <w:rPr>
          <w:rFonts w:hint="eastAsia"/>
          <w:bCs/>
        </w:rPr>
        <w:t>》第五条、第六条</w:t>
      </w:r>
    </w:p>
    <w:p>
      <w:pPr>
        <w:tabs>
          <w:tab w:val="left" w:pos="709"/>
          <w:tab w:val="left" w:pos="851"/>
          <w:tab w:val="left" w:pos="1134"/>
        </w:tabs>
        <w:spacing w:line="312" w:lineRule="auto"/>
        <w:ind w:firstLine="420" w:firstLineChars="150"/>
        <w:rPr>
          <w:rFonts w:ascii="仿宋" w:hAnsi="仿宋" w:eastAsia="仿宋"/>
        </w:rPr>
      </w:pPr>
      <w:bookmarkStart w:id="18" w:name="_Hlk11921966"/>
      <w:r>
        <w:rPr>
          <w:rFonts w:hint="eastAsia" w:ascii="仿宋" w:hAnsi="仿宋" w:eastAsia="仿宋"/>
          <w:sz w:val="28"/>
          <w:szCs w:val="28"/>
          <w:lang w:eastAsia="zh-Hans"/>
        </w:rPr>
        <w:t>【</w:t>
      </w:r>
      <w:r>
        <w:rPr>
          <w:rFonts w:hint="eastAsia" w:ascii="仿宋" w:hAnsi="仿宋" w:eastAsia="仿宋"/>
          <w:b/>
        </w:rPr>
        <w:t>参考案例</w:t>
      </w:r>
      <w:r>
        <w:rPr>
          <w:rFonts w:hint="eastAsia" w:ascii="仿宋" w:hAnsi="仿宋" w:eastAsia="仿宋"/>
          <w:sz w:val="28"/>
          <w:szCs w:val="28"/>
          <w:lang w:eastAsia="zh-Hans"/>
        </w:rPr>
        <w:t>】</w:t>
      </w:r>
      <w:r>
        <w:rPr>
          <w:rFonts w:hint="eastAsia" w:ascii="仿宋" w:hAnsi="仿宋" w:eastAsia="仿宋"/>
          <w:sz w:val="28"/>
          <w:szCs w:val="28"/>
        </w:rPr>
        <w:t xml:space="preserve"> </w:t>
      </w:r>
      <w:r>
        <w:rPr>
          <w:rFonts w:hint="eastAsia" w:ascii="仿宋" w:hAnsi="仿宋" w:eastAsia="仿宋"/>
        </w:rPr>
        <w:t>最高人民法院：（</w:t>
      </w:r>
      <w:r>
        <w:rPr>
          <w:rFonts w:ascii="仿宋" w:hAnsi="仿宋" w:eastAsia="仿宋"/>
        </w:rPr>
        <w:t>2018）最高法民再389号</w:t>
      </w:r>
      <w:bookmarkEnd w:id="18"/>
      <w:r>
        <w:rPr>
          <w:rFonts w:hint="eastAsia" w:ascii="仿宋" w:hAnsi="仿宋" w:eastAsia="仿宋"/>
        </w:rPr>
        <w:t>——认定具有保密性；（</w:t>
      </w:r>
      <w:r>
        <w:rPr>
          <w:rFonts w:ascii="仿宋" w:hAnsi="仿宋" w:eastAsia="仿宋"/>
        </w:rPr>
        <w:t>2017）最高法民申1602号</w:t>
      </w:r>
      <w:r>
        <w:rPr>
          <w:rFonts w:hint="eastAsia" w:ascii="仿宋" w:hAnsi="仿宋" w:eastAsia="仿宋"/>
        </w:rPr>
        <w:t>——认定不具有保密性。</w:t>
      </w:r>
    </w:p>
    <w:p>
      <w:pPr>
        <w:pStyle w:val="51"/>
        <w:tabs>
          <w:tab w:val="left" w:pos="709"/>
          <w:tab w:val="left" w:pos="851"/>
          <w:tab w:val="left" w:pos="1134"/>
        </w:tabs>
        <w:spacing w:line="312" w:lineRule="auto"/>
        <w:ind w:firstLine="48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12</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【商业秘密的价值性】</w:t>
      </w:r>
    </w:p>
    <w:p>
      <w:pPr>
        <w:pStyle w:val="51"/>
        <w:spacing w:line="312" w:lineRule="auto"/>
        <w:ind w:firstLine="480"/>
        <w:rPr>
          <w:rFonts w:ascii="仿宋" w:hAnsi="仿宋" w:eastAsia="仿宋"/>
          <w:sz w:val="24"/>
        </w:rPr>
      </w:pPr>
      <w:r>
        <w:rPr>
          <w:rFonts w:hint="eastAsia" w:ascii="仿宋" w:hAnsi="仿宋" w:eastAsia="仿宋"/>
          <w:sz w:val="24"/>
        </w:rPr>
        <w:t>1</w:t>
      </w:r>
      <w:r>
        <w:rPr>
          <w:rFonts w:ascii="仿宋" w:hAnsi="仿宋" w:eastAsia="仿宋"/>
          <w:sz w:val="24"/>
        </w:rPr>
        <w:t xml:space="preserve">2.1 </w:t>
      </w:r>
      <w:r>
        <w:rPr>
          <w:rFonts w:hint="eastAsia" w:ascii="仿宋" w:hAnsi="仿宋" w:eastAsia="仿宋"/>
          <w:sz w:val="24"/>
        </w:rPr>
        <w:t>商业秘密的</w:t>
      </w:r>
      <w:r>
        <w:rPr>
          <w:rFonts w:ascii="仿宋" w:hAnsi="仿宋" w:eastAsia="仿宋"/>
          <w:sz w:val="24"/>
        </w:rPr>
        <w:t>价值性，即</w:t>
      </w:r>
      <w:r>
        <w:rPr>
          <w:rFonts w:hint="eastAsia" w:ascii="仿宋" w:hAnsi="仿宋" w:eastAsia="仿宋"/>
          <w:sz w:val="24"/>
        </w:rPr>
        <w:t>商业秘密</w:t>
      </w:r>
      <w:r>
        <w:rPr>
          <w:rFonts w:ascii="仿宋" w:hAnsi="仿宋" w:eastAsia="仿宋"/>
          <w:sz w:val="24"/>
        </w:rPr>
        <w:t>能为权利人带来</w:t>
      </w:r>
      <w:r>
        <w:rPr>
          <w:rFonts w:hint="eastAsia" w:ascii="仿宋" w:hAnsi="仿宋" w:eastAsia="仿宋"/>
          <w:sz w:val="24"/>
        </w:rPr>
        <w:t>相应的</w:t>
      </w:r>
      <w:r>
        <w:rPr>
          <w:rFonts w:ascii="仿宋" w:hAnsi="仿宋" w:eastAsia="仿宋"/>
          <w:sz w:val="24"/>
        </w:rPr>
        <w:t>经济利益</w:t>
      </w:r>
      <w:r>
        <w:rPr>
          <w:rFonts w:hint="eastAsia" w:ascii="仿宋" w:hAnsi="仿宋" w:eastAsia="仿宋"/>
          <w:sz w:val="24"/>
        </w:rPr>
        <w:t>或一定的竞争优势，这也</w:t>
      </w:r>
      <w:r>
        <w:rPr>
          <w:rFonts w:ascii="仿宋" w:hAnsi="仿宋" w:eastAsia="仿宋"/>
          <w:sz w:val="24"/>
        </w:rPr>
        <w:t>是权利人</w:t>
      </w:r>
      <w:r>
        <w:rPr>
          <w:rFonts w:hint="eastAsia" w:ascii="仿宋" w:hAnsi="仿宋" w:eastAsia="仿宋"/>
          <w:sz w:val="24"/>
        </w:rPr>
        <w:t>进行</w:t>
      </w:r>
      <w:r>
        <w:rPr>
          <w:rFonts w:ascii="仿宋" w:hAnsi="仿宋" w:eastAsia="仿宋"/>
          <w:sz w:val="24"/>
        </w:rPr>
        <w:t>商业秘密保护的目的。</w:t>
      </w:r>
    </w:p>
    <w:p>
      <w:pPr>
        <w:pStyle w:val="51"/>
        <w:tabs>
          <w:tab w:val="left" w:pos="993"/>
        </w:tabs>
        <w:spacing w:line="312" w:lineRule="auto"/>
        <w:ind w:firstLine="480"/>
        <w:rPr>
          <w:rFonts w:ascii="仿宋" w:hAnsi="仿宋" w:eastAsia="仿宋"/>
          <w:sz w:val="24"/>
        </w:rPr>
      </w:pPr>
      <w:r>
        <w:rPr>
          <w:rFonts w:ascii="仿宋" w:hAnsi="仿宋" w:eastAsia="仿宋"/>
          <w:sz w:val="24"/>
        </w:rPr>
        <w:t>12.2 商业秘密的价值性</w:t>
      </w:r>
      <w:r>
        <w:rPr>
          <w:rFonts w:hint="eastAsia" w:ascii="仿宋" w:hAnsi="仿宋" w:eastAsia="仿宋"/>
          <w:sz w:val="24"/>
        </w:rPr>
        <w:t>可以</w:t>
      </w:r>
      <w:r>
        <w:rPr>
          <w:rFonts w:ascii="仿宋" w:hAnsi="仿宋" w:eastAsia="仿宋"/>
          <w:sz w:val="24"/>
        </w:rPr>
        <w:t>是</w:t>
      </w:r>
      <w:r>
        <w:rPr>
          <w:rFonts w:hint="eastAsia" w:ascii="仿宋" w:hAnsi="仿宋" w:eastAsia="仿宋"/>
          <w:sz w:val="24"/>
        </w:rPr>
        <w:t>实际产生的价值</w:t>
      </w:r>
      <w:r>
        <w:rPr>
          <w:rFonts w:ascii="仿宋" w:hAnsi="仿宋" w:eastAsia="仿宋"/>
          <w:sz w:val="24"/>
        </w:rPr>
        <w:t>，也可</w:t>
      </w:r>
      <w:r>
        <w:rPr>
          <w:rFonts w:hint="eastAsia" w:ascii="仿宋" w:hAnsi="仿宋" w:eastAsia="仿宋"/>
          <w:sz w:val="24"/>
        </w:rPr>
        <w:t>以</w:t>
      </w:r>
      <w:r>
        <w:rPr>
          <w:rFonts w:ascii="仿宋" w:hAnsi="仿宋" w:eastAsia="仿宋"/>
          <w:sz w:val="24"/>
        </w:rPr>
        <w:t>是潜在</w:t>
      </w:r>
      <w:r>
        <w:rPr>
          <w:rFonts w:hint="eastAsia" w:ascii="仿宋" w:hAnsi="仿宋" w:eastAsia="仿宋"/>
          <w:sz w:val="24"/>
        </w:rPr>
        <w:t>具有的价值。</w:t>
      </w:r>
    </w:p>
    <w:p>
      <w:pPr>
        <w:pStyle w:val="51"/>
        <w:spacing w:line="312" w:lineRule="auto"/>
        <w:ind w:firstLine="480"/>
        <w:rPr>
          <w:rFonts w:ascii="仿宋" w:hAnsi="仿宋" w:eastAsia="仿宋"/>
          <w:sz w:val="24"/>
        </w:rPr>
      </w:pPr>
      <w:r>
        <w:rPr>
          <w:rFonts w:hint="eastAsia" w:ascii="仿宋" w:hAnsi="仿宋" w:eastAsia="仿宋"/>
          <w:sz w:val="24"/>
        </w:rPr>
        <w:t>1</w:t>
      </w:r>
      <w:r>
        <w:rPr>
          <w:rFonts w:ascii="仿宋" w:hAnsi="仿宋" w:eastAsia="仿宋"/>
          <w:sz w:val="24"/>
        </w:rPr>
        <w:t>2.3 商业秘密的价值性</w:t>
      </w:r>
      <w:r>
        <w:rPr>
          <w:rFonts w:hint="eastAsia" w:ascii="仿宋" w:hAnsi="仿宋" w:eastAsia="仿宋"/>
          <w:sz w:val="24"/>
        </w:rPr>
        <w:t>可以是直接投入生产、经营而产生的直接价</w:t>
      </w:r>
      <w:r>
        <w:rPr>
          <w:rFonts w:ascii="仿宋" w:hAnsi="仿宋" w:eastAsia="仿宋"/>
          <w:sz w:val="24"/>
        </w:rPr>
        <w:t>值，</w:t>
      </w:r>
      <w:r>
        <w:rPr>
          <w:rFonts w:hint="eastAsia" w:ascii="仿宋" w:hAnsi="仿宋" w:eastAsia="仿宋"/>
          <w:sz w:val="24"/>
        </w:rPr>
        <w:t>也可以是虽未直接投入生产、经营，但能间接产生的</w:t>
      </w:r>
      <w:r>
        <w:rPr>
          <w:rFonts w:ascii="仿宋" w:hAnsi="仿宋" w:eastAsia="仿宋"/>
          <w:sz w:val="24"/>
        </w:rPr>
        <w:t>价值</w:t>
      </w:r>
      <w:r>
        <w:rPr>
          <w:rFonts w:hint="eastAsia" w:ascii="仿宋" w:hAnsi="仿宋" w:eastAsia="仿宋"/>
          <w:sz w:val="24"/>
        </w:rPr>
        <w:t>，这也符合商业秘密的价值性，</w:t>
      </w:r>
      <w:r>
        <w:rPr>
          <w:rFonts w:ascii="仿宋" w:hAnsi="仿宋" w:eastAsia="仿宋"/>
          <w:sz w:val="24"/>
        </w:rPr>
        <w:t>例如实</w:t>
      </w:r>
      <w:r>
        <w:rPr>
          <w:rFonts w:hint="eastAsia" w:ascii="仿宋" w:hAnsi="仿宋" w:eastAsia="仿宋"/>
          <w:sz w:val="24"/>
        </w:rPr>
        <w:t>验数据、产品研发方案、阶段性成果</w:t>
      </w:r>
      <w:r>
        <w:rPr>
          <w:rFonts w:ascii="仿宋" w:hAnsi="仿宋" w:eastAsia="仿宋"/>
          <w:sz w:val="24"/>
        </w:rPr>
        <w:t>。</w:t>
      </w:r>
    </w:p>
    <w:p>
      <w:pPr>
        <w:pStyle w:val="50"/>
        <w:spacing w:line="312" w:lineRule="auto"/>
        <w:ind w:firstLineChars="200"/>
        <w:jc w:val="both"/>
      </w:pPr>
      <w:r>
        <w:rPr>
          <w:rFonts w:hint="eastAsia"/>
          <w:bCs/>
        </w:rPr>
        <w:t>1</w:t>
      </w:r>
      <w:r>
        <w:rPr>
          <w:bCs/>
        </w:rPr>
        <w:t>2.4</w:t>
      </w:r>
      <w:r>
        <w:rPr>
          <w:b/>
        </w:rPr>
        <w:t xml:space="preserve"> </w:t>
      </w:r>
      <w:r>
        <w:rPr>
          <w:rFonts w:hint="eastAsia"/>
        </w:rPr>
        <w:t>2</w:t>
      </w:r>
      <w:r>
        <w:t>017</w:t>
      </w:r>
      <w:r>
        <w:rPr>
          <w:rFonts w:hint="eastAsia"/>
        </w:rPr>
        <w:t>年修订的《反不正当竞争法》删除了商业秘密“实用性”的要求，商业秘密实用性是价值性的具体体现，价值性的要求相对更为宽泛，而在商业秘密民事诉讼实务中，对商业秘密价值性的争议相对也不大。</w:t>
      </w:r>
    </w:p>
    <w:p>
      <w:pPr>
        <w:pStyle w:val="3"/>
        <w:spacing w:after="0" w:line="312" w:lineRule="auto"/>
        <w:jc w:val="center"/>
        <w:rPr>
          <w:sz w:val="24"/>
          <w:szCs w:val="24"/>
        </w:rPr>
      </w:pPr>
      <w:bookmarkStart w:id="19" w:name="_Toc122294617"/>
      <w:r>
        <w:rPr>
          <w:rFonts w:hint="eastAsia"/>
          <w:sz w:val="24"/>
          <w:szCs w:val="24"/>
        </w:rPr>
        <w:t>第六节 侵犯商业秘密的行为</w:t>
      </w:r>
      <w:bookmarkEnd w:id="19"/>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13</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【侵犯商业秘密主体】</w:t>
      </w:r>
    </w:p>
    <w:p>
      <w:pPr>
        <w:pStyle w:val="50"/>
        <w:spacing w:line="312" w:lineRule="auto"/>
        <w:jc w:val="both"/>
      </w:pPr>
      <w:r>
        <w:rPr>
          <w:rFonts w:hint="eastAsia"/>
        </w:rPr>
        <w:t>侵犯商业秘密的主体既可以是作为市场竞争者的经营者，也可以是经营者以外的自然人，法人或非法人组织。</w:t>
      </w:r>
    </w:p>
    <w:p>
      <w:pPr>
        <w:pStyle w:val="50"/>
        <w:spacing w:line="312" w:lineRule="auto"/>
        <w:ind w:firstLine="426"/>
        <w:jc w:val="both"/>
      </w:pPr>
      <w:r>
        <w:rPr>
          <w:rFonts w:hint="eastAsia"/>
          <w:b/>
        </w:rPr>
        <w:t>【法律规定】</w:t>
      </w:r>
      <w:r>
        <w:rPr>
          <w:rFonts w:hint="eastAsia"/>
        </w:rPr>
        <w:t>《反不正当竟争法》第二十一条</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14</w:t>
      </w:r>
      <w:r>
        <w:rPr>
          <w:rFonts w:hint="eastAsia" w:ascii="仿宋" w:hAnsi="仿宋" w:eastAsia="仿宋"/>
          <w:b/>
          <w:sz w:val="24"/>
          <w:lang w:eastAsia="zh-Hans"/>
        </w:rPr>
        <w:t>条</w:t>
      </w:r>
      <w:r>
        <w:rPr>
          <w:rFonts w:ascii="仿宋" w:hAnsi="仿宋" w:eastAsia="仿宋"/>
          <w:b/>
          <w:sz w:val="24"/>
          <w:lang w:eastAsia="zh-Hans"/>
        </w:rPr>
        <w:t xml:space="preserve"> </w:t>
      </w:r>
      <w:r>
        <w:rPr>
          <w:rFonts w:hint="eastAsia" w:ascii="仿宋" w:hAnsi="仿宋" w:eastAsia="仿宋"/>
          <w:b/>
          <w:sz w:val="24"/>
        </w:rPr>
        <w:t>【侵犯商业秘密行为类型】</w:t>
      </w:r>
    </w:p>
    <w:p>
      <w:pPr>
        <w:pStyle w:val="50"/>
        <w:spacing w:line="312" w:lineRule="auto"/>
        <w:jc w:val="both"/>
      </w:pPr>
      <w:r>
        <w:t>侵犯商业秘密的行为</w:t>
      </w:r>
      <w:r>
        <w:rPr>
          <w:rFonts w:hint="eastAsia"/>
        </w:rPr>
        <w:t>主要包括：</w:t>
      </w:r>
    </w:p>
    <w:p>
      <w:pPr>
        <w:pStyle w:val="50"/>
        <w:tabs>
          <w:tab w:val="left" w:pos="1134"/>
        </w:tabs>
        <w:spacing w:line="312" w:lineRule="auto"/>
        <w:ind w:firstLine="0"/>
        <w:jc w:val="both"/>
      </w:pPr>
      <w:r>
        <w:rPr>
          <w:rFonts w:hint="eastAsia"/>
        </w:rPr>
        <w:t xml:space="preserve">    （1）以盗窃、贿赂、欺诈、胁迫、电子侵入或者其他不正当手段获取权利人的商业秘密</w:t>
      </w:r>
      <w:r>
        <w:t>；</w:t>
      </w:r>
    </w:p>
    <w:p>
      <w:pPr>
        <w:pStyle w:val="50"/>
        <w:tabs>
          <w:tab w:val="left" w:pos="993"/>
          <w:tab w:val="left" w:pos="1134"/>
        </w:tabs>
        <w:spacing w:line="312" w:lineRule="auto"/>
        <w:jc w:val="both"/>
      </w:pPr>
      <w:r>
        <w:rPr>
          <w:rFonts w:hint="eastAsia"/>
        </w:rPr>
        <w:t>（2）</w:t>
      </w:r>
      <w:r>
        <w:t>披露、使用或者允许他人使用以前项手段获取的权利人的商业秘密；</w:t>
      </w:r>
    </w:p>
    <w:p>
      <w:pPr>
        <w:pStyle w:val="50"/>
        <w:spacing w:line="312" w:lineRule="auto"/>
        <w:ind w:firstLine="0"/>
        <w:jc w:val="both"/>
      </w:pPr>
      <w:r>
        <w:rPr>
          <w:rFonts w:hint="eastAsia"/>
        </w:rPr>
        <w:t xml:space="preserve">    （3）</w:t>
      </w:r>
      <w:r>
        <w:t>违反约定或者违反权利人有关保守商业秘密的要求，披露、使用或者允许他人使用其所掌握的商业秘密</w:t>
      </w:r>
      <w:r>
        <w:rPr>
          <w:rFonts w:hint="eastAsia"/>
        </w:rPr>
        <w:t>；</w:t>
      </w:r>
    </w:p>
    <w:p>
      <w:pPr>
        <w:pStyle w:val="50"/>
        <w:spacing w:line="312" w:lineRule="auto"/>
        <w:jc w:val="both"/>
      </w:pPr>
      <w:r>
        <w:rPr>
          <w:rFonts w:hint="eastAsia"/>
        </w:rPr>
        <w:t>（4）教唆、引诱、帮助他人违反保密义务或者违反权利人有关保守商业秘密的要求，获取、披露、使用或者允许他人使用权利人的商业秘密；</w:t>
      </w:r>
    </w:p>
    <w:p>
      <w:pPr>
        <w:pStyle w:val="50"/>
        <w:spacing w:line="312" w:lineRule="auto"/>
        <w:jc w:val="both"/>
      </w:pPr>
      <w:r>
        <w:rPr>
          <w:rFonts w:hint="eastAsia"/>
        </w:rPr>
        <w:t>（5）第三人明知或应知上述四项侵权行为，仍获取或披露或使用或允许他人使用商业秘密。</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15</w:t>
      </w:r>
      <w:r>
        <w:rPr>
          <w:rFonts w:hint="eastAsia" w:ascii="仿宋" w:hAnsi="仿宋" w:eastAsia="仿宋"/>
          <w:b/>
          <w:sz w:val="24"/>
          <w:lang w:eastAsia="zh-Hans"/>
        </w:rPr>
        <w:t>条</w:t>
      </w:r>
      <w:r>
        <w:rPr>
          <w:rFonts w:ascii="仿宋" w:hAnsi="仿宋" w:eastAsia="仿宋"/>
          <w:b/>
          <w:sz w:val="24"/>
          <w:lang w:eastAsia="zh-Hans"/>
        </w:rPr>
        <w:t xml:space="preserve"> </w:t>
      </w:r>
      <w:r>
        <w:rPr>
          <w:rFonts w:ascii="仿宋" w:hAnsi="仿宋" w:eastAsia="仿宋"/>
          <w:b/>
          <w:sz w:val="24"/>
        </w:rPr>
        <w:t>【不正当手段获取</w:t>
      </w:r>
      <w:r>
        <w:rPr>
          <w:rFonts w:hint="eastAsia" w:ascii="仿宋" w:hAnsi="仿宋" w:eastAsia="仿宋"/>
          <w:b/>
          <w:sz w:val="24"/>
        </w:rPr>
        <w:t>行为</w:t>
      </w:r>
      <w:r>
        <w:rPr>
          <w:rFonts w:ascii="仿宋" w:hAnsi="仿宋" w:eastAsia="仿宋"/>
          <w:b/>
          <w:sz w:val="24"/>
        </w:rPr>
        <w:t>】</w:t>
      </w:r>
    </w:p>
    <w:p>
      <w:pPr>
        <w:pStyle w:val="50"/>
        <w:spacing w:line="312" w:lineRule="auto"/>
        <w:jc w:val="both"/>
      </w:pPr>
      <w:r>
        <w:rPr>
          <w:rFonts w:hint="eastAsia"/>
        </w:rPr>
        <w:t>1</w:t>
      </w:r>
      <w:r>
        <w:t>5.1 获取他人商业秘密的不正当手段包括盗窃、</w:t>
      </w:r>
      <w:r>
        <w:rPr>
          <w:rFonts w:hint="eastAsia"/>
        </w:rPr>
        <w:t>贿赂</w:t>
      </w:r>
      <w:r>
        <w:t>、</w:t>
      </w:r>
      <w:r>
        <w:rPr>
          <w:rFonts w:hint="eastAsia"/>
        </w:rPr>
        <w:t>欺诈、</w:t>
      </w:r>
      <w:r>
        <w:t>胁迫</w:t>
      </w:r>
      <w:r>
        <w:rPr>
          <w:rFonts w:hint="eastAsia"/>
        </w:rPr>
        <w:t>、电子侵入或</w:t>
      </w:r>
      <w:r>
        <w:t>者其他不正当手段。</w:t>
      </w:r>
    </w:p>
    <w:p>
      <w:pPr>
        <w:pStyle w:val="50"/>
        <w:spacing w:line="312" w:lineRule="auto"/>
        <w:jc w:val="both"/>
      </w:pPr>
      <w:r>
        <w:rPr>
          <w:rFonts w:hint="eastAsia"/>
        </w:rPr>
        <w:t>1</w:t>
      </w:r>
      <w:r>
        <w:t>5.2　所谓其他不正当手段除了前述手段之外的，其他没有法律依据或合同依据的手段，如抢夺等不正当手段。</w:t>
      </w:r>
    </w:p>
    <w:p>
      <w:pPr>
        <w:pStyle w:val="50"/>
        <w:spacing w:line="312" w:lineRule="auto"/>
        <w:jc w:val="both"/>
      </w:pPr>
      <w:r>
        <w:rPr>
          <w:rFonts w:hint="eastAsia"/>
        </w:rPr>
        <w:t>1</w:t>
      </w:r>
      <w:r>
        <w:t>5.3 以不正当手段获取他人商业秘密的行为本身就构成侵权，而不论行为人获取他人的商业秘密后是否披露或者</w:t>
      </w:r>
      <w:r>
        <w:rPr>
          <w:rFonts w:hint="eastAsia"/>
        </w:rPr>
        <w:t>实际</w:t>
      </w:r>
      <w:r>
        <w:t>使用。</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16</w:t>
      </w:r>
      <w:r>
        <w:rPr>
          <w:rFonts w:hint="eastAsia" w:ascii="仿宋" w:hAnsi="仿宋" w:eastAsia="仿宋"/>
          <w:b/>
          <w:sz w:val="24"/>
          <w:lang w:eastAsia="zh-Hans"/>
        </w:rPr>
        <w:t>条</w:t>
      </w:r>
      <w:r>
        <w:rPr>
          <w:rFonts w:ascii="仿宋" w:hAnsi="仿宋" w:eastAsia="仿宋"/>
          <w:b/>
          <w:sz w:val="24"/>
          <w:lang w:eastAsia="zh-Hans"/>
        </w:rPr>
        <w:t xml:space="preserve"> </w:t>
      </w:r>
      <w:r>
        <w:rPr>
          <w:rFonts w:ascii="仿宋" w:hAnsi="仿宋" w:eastAsia="仿宋"/>
          <w:b/>
          <w:sz w:val="24"/>
        </w:rPr>
        <w:t>【</w:t>
      </w:r>
      <w:r>
        <w:rPr>
          <w:rFonts w:hint="eastAsia" w:ascii="仿宋" w:hAnsi="仿宋" w:eastAsia="仿宋"/>
          <w:b/>
          <w:sz w:val="24"/>
        </w:rPr>
        <w:t>非法披露、使用行为</w:t>
      </w:r>
      <w:r>
        <w:rPr>
          <w:rFonts w:ascii="仿宋" w:hAnsi="仿宋" w:eastAsia="仿宋"/>
          <w:b/>
          <w:sz w:val="24"/>
        </w:rPr>
        <w:t>】</w:t>
      </w:r>
    </w:p>
    <w:p>
      <w:pPr>
        <w:pStyle w:val="50"/>
        <w:spacing w:line="312" w:lineRule="auto"/>
        <w:jc w:val="both"/>
      </w:pPr>
      <w:r>
        <w:rPr>
          <w:rFonts w:hint="eastAsia"/>
        </w:rPr>
        <w:t>在以不正当手段获取商业秘密后，</w:t>
      </w:r>
      <w:r>
        <w:t>披露、使用或者允许他人使用以前项手段获取的权利人商业秘密</w:t>
      </w:r>
      <w:r>
        <w:rPr>
          <w:rFonts w:hint="eastAsia"/>
        </w:rPr>
        <w:t>的行为。</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17</w:t>
      </w:r>
      <w:r>
        <w:rPr>
          <w:rFonts w:hint="eastAsia" w:ascii="仿宋" w:hAnsi="仿宋" w:eastAsia="仿宋"/>
          <w:b/>
          <w:sz w:val="24"/>
          <w:lang w:eastAsia="zh-Hans"/>
        </w:rPr>
        <w:t>条</w:t>
      </w:r>
      <w:r>
        <w:rPr>
          <w:rFonts w:ascii="仿宋" w:hAnsi="仿宋" w:eastAsia="仿宋"/>
          <w:b/>
          <w:sz w:val="24"/>
          <w:lang w:eastAsia="zh-Hans"/>
        </w:rPr>
        <w:t xml:space="preserve"> </w:t>
      </w:r>
      <w:r>
        <w:rPr>
          <w:rFonts w:ascii="仿宋" w:hAnsi="仿宋" w:eastAsia="仿宋"/>
          <w:b/>
          <w:sz w:val="24"/>
        </w:rPr>
        <w:t>【</w:t>
      </w:r>
      <w:r>
        <w:rPr>
          <w:rFonts w:hint="eastAsia" w:ascii="仿宋" w:hAnsi="仿宋" w:eastAsia="仿宋"/>
          <w:b/>
          <w:sz w:val="24"/>
        </w:rPr>
        <w:t>违反义务披露、使用行为</w:t>
      </w:r>
      <w:r>
        <w:rPr>
          <w:rFonts w:ascii="仿宋" w:hAnsi="仿宋" w:eastAsia="仿宋"/>
          <w:b/>
          <w:sz w:val="24"/>
        </w:rPr>
        <w:t>】</w:t>
      </w:r>
    </w:p>
    <w:p>
      <w:pPr>
        <w:pStyle w:val="51"/>
        <w:tabs>
          <w:tab w:val="left" w:pos="709"/>
          <w:tab w:val="left" w:pos="851"/>
          <w:tab w:val="left" w:pos="1134"/>
        </w:tabs>
        <w:spacing w:line="312" w:lineRule="auto"/>
        <w:ind w:firstLine="424" w:firstLineChars="0"/>
        <w:rPr>
          <w:rFonts w:ascii="仿宋" w:hAnsi="仿宋" w:eastAsia="仿宋"/>
          <w:sz w:val="24"/>
        </w:rPr>
      </w:pPr>
      <w:r>
        <w:rPr>
          <w:rFonts w:hint="eastAsia" w:ascii="仿宋" w:hAnsi="仿宋" w:eastAsia="仿宋"/>
          <w:sz w:val="24"/>
        </w:rPr>
        <w:t>1</w:t>
      </w:r>
      <w:r>
        <w:rPr>
          <w:rFonts w:ascii="仿宋" w:hAnsi="仿宋" w:eastAsia="仿宋"/>
          <w:sz w:val="24"/>
        </w:rPr>
        <w:t xml:space="preserve">7.1 </w:t>
      </w:r>
      <w:r>
        <w:rPr>
          <w:rFonts w:hint="eastAsia" w:ascii="仿宋" w:hAnsi="仿宋" w:eastAsia="仿宋"/>
          <w:sz w:val="24"/>
        </w:rPr>
        <w:t>该商业秘密侵权类型以违反保守商业秘密的法律规定或合同约定义务，或违反商业秘密权利人对义务人保密要求为前提。</w:t>
      </w:r>
    </w:p>
    <w:p>
      <w:pPr>
        <w:pStyle w:val="51"/>
        <w:tabs>
          <w:tab w:val="left" w:pos="709"/>
          <w:tab w:val="left" w:pos="851"/>
          <w:tab w:val="left" w:pos="1134"/>
        </w:tabs>
        <w:spacing w:line="312" w:lineRule="auto"/>
        <w:ind w:firstLine="424" w:firstLineChars="0"/>
        <w:rPr>
          <w:rFonts w:ascii="仿宋" w:hAnsi="仿宋" w:eastAsia="仿宋"/>
          <w:sz w:val="24"/>
        </w:rPr>
      </w:pPr>
      <w:r>
        <w:rPr>
          <w:rFonts w:hint="eastAsia" w:ascii="仿宋" w:hAnsi="仿宋" w:eastAsia="仿宋"/>
          <w:sz w:val="24"/>
        </w:rPr>
        <w:t>1</w:t>
      </w:r>
      <w:r>
        <w:rPr>
          <w:rFonts w:ascii="仿宋" w:hAnsi="仿宋" w:eastAsia="仿宋"/>
          <w:sz w:val="24"/>
        </w:rPr>
        <w:t>7</w:t>
      </w:r>
      <w:r>
        <w:rPr>
          <w:rFonts w:hint="eastAsia" w:ascii="仿宋" w:hAnsi="仿宋" w:eastAsia="仿宋"/>
          <w:sz w:val="24"/>
        </w:rPr>
        <w:t>.2</w:t>
      </w:r>
      <w:r>
        <w:rPr>
          <w:rFonts w:ascii="仿宋" w:hAnsi="仿宋" w:eastAsia="仿宋"/>
          <w:sz w:val="24"/>
        </w:rPr>
        <w:t xml:space="preserve"> </w:t>
      </w:r>
      <w:r>
        <w:rPr>
          <w:rFonts w:hint="eastAsia" w:ascii="仿宋" w:hAnsi="仿宋" w:eastAsia="仿宋"/>
          <w:sz w:val="24"/>
        </w:rPr>
        <w:t>行为人以正当手段获取商业秘密，但违反保密义务或不遵守保密要求而进行非法披露、使用。</w:t>
      </w:r>
    </w:p>
    <w:p>
      <w:pPr>
        <w:pStyle w:val="51"/>
        <w:tabs>
          <w:tab w:val="left" w:pos="709"/>
          <w:tab w:val="left" w:pos="851"/>
          <w:tab w:val="left" w:pos="1134"/>
        </w:tabs>
        <w:spacing w:line="312" w:lineRule="auto"/>
        <w:ind w:firstLine="424" w:firstLineChars="0"/>
        <w:rPr>
          <w:rFonts w:ascii="仿宋" w:hAnsi="仿宋" w:eastAsia="仿宋"/>
          <w:sz w:val="24"/>
        </w:rPr>
      </w:pPr>
      <w:r>
        <w:rPr>
          <w:rFonts w:ascii="仿宋" w:hAnsi="仿宋" w:eastAsia="仿宋"/>
          <w:sz w:val="24"/>
        </w:rPr>
        <w:t xml:space="preserve">17.3 </w:t>
      </w:r>
      <w:r>
        <w:rPr>
          <w:rFonts w:hint="eastAsia" w:ascii="仿宋" w:hAnsi="仿宋" w:eastAsia="仿宋"/>
          <w:sz w:val="24"/>
        </w:rPr>
        <w:t>违反</w:t>
      </w:r>
      <w:r>
        <w:rPr>
          <w:rFonts w:ascii="仿宋" w:hAnsi="仿宋" w:eastAsia="仿宋"/>
          <w:sz w:val="24"/>
        </w:rPr>
        <w:t>保密</w:t>
      </w:r>
      <w:r>
        <w:rPr>
          <w:rFonts w:hint="eastAsia" w:ascii="仿宋" w:hAnsi="仿宋" w:eastAsia="仿宋"/>
          <w:sz w:val="24"/>
        </w:rPr>
        <w:t>义务和</w:t>
      </w:r>
      <w:r>
        <w:rPr>
          <w:rFonts w:ascii="仿宋" w:hAnsi="仿宋" w:eastAsia="仿宋"/>
          <w:sz w:val="24"/>
        </w:rPr>
        <w:t>保密要求，</w:t>
      </w:r>
      <w:r>
        <w:rPr>
          <w:rFonts w:hint="eastAsia" w:ascii="仿宋" w:hAnsi="仿宋" w:eastAsia="仿宋"/>
          <w:sz w:val="24"/>
        </w:rPr>
        <w:t>依据法律规定或合同约定产生的保守他人商业秘密的义务，</w:t>
      </w:r>
      <w:r>
        <w:rPr>
          <w:rFonts w:ascii="仿宋" w:hAnsi="仿宋" w:eastAsia="仿宋"/>
          <w:sz w:val="24"/>
        </w:rPr>
        <w:t>保密要求是指权利人单方要求义务人保守商业秘密的要求。</w:t>
      </w:r>
    </w:p>
    <w:p>
      <w:pPr>
        <w:pStyle w:val="51"/>
        <w:tabs>
          <w:tab w:val="left" w:pos="709"/>
          <w:tab w:val="left" w:pos="851"/>
          <w:tab w:val="left" w:pos="1134"/>
        </w:tabs>
        <w:spacing w:line="312" w:lineRule="auto"/>
        <w:ind w:firstLine="424" w:firstLineChars="0"/>
        <w:rPr>
          <w:rFonts w:ascii="仿宋" w:hAnsi="仿宋" w:eastAsia="仿宋"/>
          <w:sz w:val="24"/>
        </w:rPr>
      </w:pPr>
      <w:r>
        <w:rPr>
          <w:rFonts w:ascii="仿宋" w:hAnsi="仿宋" w:eastAsia="仿宋"/>
          <w:sz w:val="24"/>
        </w:rPr>
        <w:t>17.4 保密</w:t>
      </w:r>
      <w:r>
        <w:rPr>
          <w:rFonts w:hint="eastAsia" w:ascii="仿宋" w:hAnsi="仿宋" w:eastAsia="仿宋"/>
          <w:sz w:val="24"/>
        </w:rPr>
        <w:t>义务</w:t>
      </w:r>
      <w:r>
        <w:rPr>
          <w:rFonts w:ascii="仿宋" w:hAnsi="仿宋" w:eastAsia="仿宋"/>
          <w:sz w:val="24"/>
        </w:rPr>
        <w:t>保密要求的相对人可以是与权利人有业务关系的单位和个人，也可以是权利人的员工。</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18</w:t>
      </w:r>
      <w:r>
        <w:rPr>
          <w:rFonts w:hint="eastAsia" w:ascii="仿宋" w:hAnsi="仿宋" w:eastAsia="仿宋"/>
          <w:b/>
          <w:sz w:val="24"/>
          <w:lang w:eastAsia="zh-Hans"/>
        </w:rPr>
        <w:t>条</w:t>
      </w:r>
      <w:r>
        <w:rPr>
          <w:rFonts w:ascii="仿宋" w:hAnsi="仿宋" w:eastAsia="仿宋"/>
          <w:b/>
          <w:sz w:val="24"/>
          <w:lang w:eastAsia="zh-Hans"/>
        </w:rPr>
        <w:t xml:space="preserve"> </w:t>
      </w:r>
      <w:r>
        <w:rPr>
          <w:rFonts w:ascii="仿宋" w:hAnsi="仿宋" w:eastAsia="仿宋"/>
          <w:b/>
          <w:sz w:val="24"/>
        </w:rPr>
        <w:t>【</w:t>
      </w:r>
      <w:r>
        <w:rPr>
          <w:rFonts w:hint="eastAsia" w:ascii="仿宋" w:hAnsi="仿宋" w:eastAsia="仿宋"/>
          <w:b/>
          <w:sz w:val="24"/>
        </w:rPr>
        <w:t>教唆、引诱、帮助商业秘密侵权行为</w:t>
      </w:r>
      <w:r>
        <w:rPr>
          <w:rFonts w:ascii="仿宋" w:hAnsi="仿宋" w:eastAsia="仿宋"/>
          <w:b/>
          <w:sz w:val="24"/>
        </w:rPr>
        <w:t>】</w:t>
      </w:r>
    </w:p>
    <w:p>
      <w:pPr>
        <w:pStyle w:val="50"/>
        <w:spacing w:line="312" w:lineRule="auto"/>
        <w:ind w:firstLineChars="200"/>
        <w:jc w:val="both"/>
      </w:pPr>
      <w:r>
        <w:rPr>
          <w:rFonts w:hint="eastAsia"/>
        </w:rPr>
        <w:t>教唆、引诱、帮助他人违反保密义务或者违反权利人有关保守商业秘密的要求，获取、披露、使用或者允许他人使用权利人的商业秘密的行为。</w:t>
      </w:r>
    </w:p>
    <w:p>
      <w:pPr>
        <w:pStyle w:val="51"/>
        <w:tabs>
          <w:tab w:val="left" w:pos="709"/>
          <w:tab w:val="left" w:pos="851"/>
          <w:tab w:val="left" w:pos="1134"/>
        </w:tabs>
        <w:spacing w:line="312" w:lineRule="auto"/>
        <w:ind w:left="422" w:leftChars="176" w:firstLine="0" w:firstLineChars="0"/>
        <w:rPr>
          <w:rFonts w:ascii="仿宋" w:hAnsi="仿宋" w:eastAsia="仿宋"/>
          <w:b/>
          <w:sz w:val="24"/>
        </w:rPr>
      </w:pPr>
      <w:r>
        <w:rPr>
          <w:rFonts w:hint="eastAsia" w:ascii="仿宋" w:hAnsi="仿宋" w:eastAsia="仿宋"/>
          <w:b/>
          <w:sz w:val="24"/>
          <w:lang w:eastAsia="zh-Hans"/>
        </w:rPr>
        <w:t>第</w:t>
      </w:r>
      <w:r>
        <w:rPr>
          <w:rFonts w:ascii="仿宋" w:hAnsi="仿宋" w:eastAsia="仿宋"/>
          <w:b/>
          <w:sz w:val="24"/>
          <w:lang w:eastAsia="zh-Hans"/>
        </w:rPr>
        <w:t>19</w:t>
      </w:r>
      <w:r>
        <w:rPr>
          <w:rFonts w:hint="eastAsia" w:ascii="仿宋" w:hAnsi="仿宋" w:eastAsia="仿宋"/>
          <w:b/>
          <w:sz w:val="24"/>
          <w:lang w:eastAsia="zh-Hans"/>
        </w:rPr>
        <w:t>条</w:t>
      </w:r>
      <w:r>
        <w:rPr>
          <w:rFonts w:ascii="仿宋" w:hAnsi="仿宋" w:eastAsia="仿宋"/>
          <w:b/>
          <w:sz w:val="24"/>
          <w:lang w:eastAsia="zh-Hans"/>
        </w:rPr>
        <w:t xml:space="preserve"> </w:t>
      </w:r>
      <w:r>
        <w:rPr>
          <w:rFonts w:ascii="仿宋" w:hAnsi="仿宋" w:eastAsia="仿宋"/>
          <w:b/>
          <w:sz w:val="24"/>
        </w:rPr>
        <w:t>【</w:t>
      </w:r>
      <w:r>
        <w:rPr>
          <w:rFonts w:hint="eastAsia" w:ascii="仿宋" w:hAnsi="仿宋" w:eastAsia="仿宋"/>
          <w:b/>
          <w:sz w:val="24"/>
        </w:rPr>
        <w:t>第三人恶意获取、使用或非法披露的行为</w:t>
      </w:r>
      <w:r>
        <w:rPr>
          <w:rFonts w:ascii="仿宋" w:hAnsi="仿宋" w:eastAsia="仿宋"/>
          <w:b/>
          <w:sz w:val="24"/>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19.1 </w:t>
      </w:r>
      <w:r>
        <w:rPr>
          <w:rFonts w:hint="eastAsia" w:ascii="仿宋" w:hAnsi="仿宋" w:eastAsia="仿宋"/>
        </w:rPr>
        <w:t>第三人主观上存在恶意，即以</w:t>
      </w:r>
      <w:r>
        <w:rPr>
          <w:rFonts w:ascii="仿宋" w:hAnsi="仿宋" w:eastAsia="仿宋"/>
        </w:rPr>
        <w:t>第三人在主观上以明知或应知为前提。</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19.2 </w:t>
      </w:r>
      <w:r>
        <w:rPr>
          <w:rFonts w:hint="eastAsia" w:ascii="仿宋" w:hAnsi="仿宋" w:eastAsia="仿宋"/>
        </w:rPr>
        <w:t>第三人客观上实施了获取、使用或披露商业秘密的行为，即第</w:t>
      </w:r>
      <w:r>
        <w:rPr>
          <w:rFonts w:ascii="仿宋" w:hAnsi="仿宋" w:eastAsia="仿宋"/>
        </w:rPr>
        <w:t>三人虽未直接从权利人处获取商业秘密，但如果明知或者应知</w:t>
      </w:r>
      <w:r>
        <w:rPr>
          <w:rFonts w:hint="eastAsia" w:ascii="仿宋" w:hAnsi="仿宋" w:eastAsia="仿宋"/>
        </w:rPr>
        <w:t>获取、使用或披露的信息是属于侵</w:t>
      </w:r>
      <w:r>
        <w:rPr>
          <w:rFonts w:hint="eastAsia" w:ascii="仿宋" w:hAnsi="仿宋" w:eastAsia="仿宋"/>
          <w:lang w:eastAsia="zh-Hans"/>
        </w:rPr>
        <w:t>犯</w:t>
      </w:r>
      <w:r>
        <w:rPr>
          <w:rFonts w:hint="eastAsia" w:ascii="仿宋" w:hAnsi="仿宋" w:eastAsia="仿宋"/>
        </w:rPr>
        <w:t>他人</w:t>
      </w:r>
      <w:r>
        <w:rPr>
          <w:rFonts w:ascii="仿宋" w:hAnsi="仿宋" w:eastAsia="仿宋"/>
        </w:rPr>
        <w:t>商业秘密</w:t>
      </w:r>
      <w:r>
        <w:rPr>
          <w:rFonts w:hint="eastAsia" w:ascii="仿宋" w:hAnsi="仿宋" w:eastAsia="仿宋"/>
        </w:rPr>
        <w:t>的信息</w:t>
      </w:r>
      <w:r>
        <w:rPr>
          <w:rFonts w:ascii="仿宋" w:hAnsi="仿宋" w:eastAsia="仿宋"/>
        </w:rPr>
        <w:t>，而</w:t>
      </w:r>
      <w:r>
        <w:rPr>
          <w:rFonts w:hint="eastAsia" w:ascii="仿宋" w:hAnsi="仿宋" w:eastAsia="仿宋"/>
        </w:rPr>
        <w:t>仍</w:t>
      </w:r>
      <w:r>
        <w:rPr>
          <w:rFonts w:ascii="仿宋" w:hAnsi="仿宋" w:eastAsia="仿宋"/>
        </w:rPr>
        <w:t>从该侵权人处获取、披露或者使用</w:t>
      </w:r>
      <w:r>
        <w:rPr>
          <w:rFonts w:hint="eastAsia" w:ascii="仿宋" w:hAnsi="仿宋" w:eastAsia="仿宋"/>
        </w:rPr>
        <w:t>该</w:t>
      </w:r>
      <w:r>
        <w:rPr>
          <w:rFonts w:ascii="仿宋" w:hAnsi="仿宋" w:eastAsia="仿宋"/>
        </w:rPr>
        <w:t>商业秘密</w:t>
      </w:r>
      <w:r>
        <w:rPr>
          <w:rFonts w:hint="eastAsia" w:ascii="仿宋" w:hAnsi="仿宋" w:eastAsia="仿宋"/>
        </w:rPr>
        <w:t>的</w:t>
      </w:r>
      <w:r>
        <w:rPr>
          <w:rFonts w:ascii="仿宋" w:hAnsi="仿宋" w:eastAsia="仿宋"/>
        </w:rPr>
        <w:t>，</w:t>
      </w:r>
      <w:r>
        <w:rPr>
          <w:rFonts w:hint="eastAsia" w:ascii="仿宋" w:hAnsi="仿宋" w:eastAsia="仿宋"/>
        </w:rPr>
        <w:t>该行为应</w:t>
      </w:r>
      <w:r>
        <w:rPr>
          <w:rFonts w:ascii="仿宋" w:hAnsi="仿宋" w:eastAsia="仿宋"/>
        </w:rPr>
        <w:t>视为侵犯商业秘密</w:t>
      </w:r>
      <w:r>
        <w:rPr>
          <w:rFonts w:hint="eastAsia" w:ascii="仿宋" w:hAnsi="仿宋" w:eastAsia="仿宋"/>
        </w:rPr>
        <w:t>的行为</w:t>
      </w:r>
      <w:r>
        <w:rPr>
          <w:rFonts w:ascii="仿宋" w:hAnsi="仿宋" w:eastAsia="仿宋"/>
        </w:rPr>
        <w:t>。</w:t>
      </w:r>
    </w:p>
    <w:p>
      <w:pPr>
        <w:pStyle w:val="50"/>
        <w:spacing w:line="312" w:lineRule="auto"/>
        <w:ind w:firstLine="426"/>
        <w:jc w:val="both"/>
      </w:pPr>
      <w:r>
        <w:rPr>
          <w:rFonts w:hint="eastAsia"/>
          <w:bCs/>
        </w:rPr>
        <w:t>1</w:t>
      </w:r>
      <w:r>
        <w:rPr>
          <w:bCs/>
        </w:rPr>
        <w:t xml:space="preserve">9.3 </w:t>
      </w:r>
      <w:r>
        <w:rPr>
          <w:rFonts w:hint="eastAsia"/>
          <w:bCs/>
        </w:rPr>
        <w:t>侵犯商业秘密行为类型多样，</w:t>
      </w:r>
      <w:r>
        <w:rPr>
          <w:rFonts w:hint="eastAsia"/>
        </w:rPr>
        <w:t>实务中，应依照《反不正当竞争法》与相关司法解释的规定来具体认定是否构成侵权。在商业秘密民事诉讼实务中，商业秘密侵权纠纷是最主要的诉讼类型，商业秘密民事诉讼中虽还有其他不同的诉讼类型，但其他类型商业秘密民事案件鲜有发生，所以，本操作指引也以商业秘密侵权纠纷这种民事诉讼类型来编写，以商业秘密侵权纠纷案件的处理要点为主要内容。</w:t>
      </w:r>
    </w:p>
    <w:p>
      <w:pPr>
        <w:pStyle w:val="50"/>
        <w:spacing w:line="312" w:lineRule="auto"/>
        <w:ind w:firstLine="426"/>
        <w:jc w:val="both"/>
      </w:pPr>
    </w:p>
    <w:p>
      <w:pPr>
        <w:pStyle w:val="50"/>
        <w:spacing w:line="312" w:lineRule="auto"/>
        <w:ind w:firstLine="0"/>
        <w:jc w:val="both"/>
        <w:rPr>
          <w:rFonts w:hint="eastAsia"/>
        </w:rPr>
      </w:pPr>
    </w:p>
    <w:p>
      <w:pPr>
        <w:pStyle w:val="2"/>
        <w:spacing w:after="0" w:line="312" w:lineRule="auto"/>
        <w:jc w:val="both"/>
        <w:rPr>
          <w:rFonts w:cs="黑体"/>
          <w:sz w:val="28"/>
          <w:szCs w:val="28"/>
        </w:rPr>
      </w:pPr>
    </w:p>
    <w:p>
      <w:pPr>
        <w:pStyle w:val="2"/>
        <w:spacing w:after="0" w:line="312" w:lineRule="auto"/>
        <w:rPr>
          <w:rFonts w:cs="黑体"/>
          <w:sz w:val="28"/>
          <w:szCs w:val="28"/>
        </w:rPr>
      </w:pPr>
      <w:bookmarkStart w:id="20" w:name="_Toc122294618"/>
      <w:r>
        <w:rPr>
          <w:rFonts w:hint="eastAsia" w:cs="黑体"/>
          <w:sz w:val="28"/>
          <w:szCs w:val="28"/>
        </w:rPr>
        <w:t>第二章  商业秘密民事诉讼类型</w:t>
      </w:r>
      <w:bookmarkEnd w:id="20"/>
    </w:p>
    <w:p>
      <w:pPr>
        <w:pStyle w:val="3"/>
        <w:spacing w:after="0" w:line="312" w:lineRule="auto"/>
        <w:jc w:val="center"/>
        <w:rPr>
          <w:sz w:val="24"/>
          <w:szCs w:val="24"/>
        </w:rPr>
      </w:pPr>
      <w:bookmarkStart w:id="21" w:name="_Toc122294619"/>
      <w:r>
        <w:rPr>
          <w:rFonts w:hint="eastAsia"/>
          <w:sz w:val="24"/>
          <w:szCs w:val="24"/>
        </w:rPr>
        <w:t>第一节  侵害商业秘密纠纷</w:t>
      </w:r>
      <w:bookmarkEnd w:id="21"/>
    </w:p>
    <w:p>
      <w:pPr>
        <w:pStyle w:val="50"/>
        <w:spacing w:line="312" w:lineRule="auto"/>
        <w:ind w:firstLine="426"/>
        <w:rPr>
          <w:b/>
          <w:bCs/>
        </w:rPr>
      </w:pPr>
      <w:r>
        <w:rPr>
          <w:rFonts w:hint="eastAsia"/>
          <w:b/>
          <w:bCs/>
          <w:lang w:eastAsia="zh-Hans"/>
        </w:rPr>
        <w:t>第</w:t>
      </w:r>
      <w:r>
        <w:rPr>
          <w:b/>
          <w:bCs/>
          <w:lang w:eastAsia="zh-Hans"/>
        </w:rPr>
        <w:t>20</w:t>
      </w:r>
      <w:r>
        <w:rPr>
          <w:rFonts w:hint="eastAsia"/>
          <w:b/>
          <w:bCs/>
          <w:lang w:eastAsia="zh-Hans"/>
        </w:rPr>
        <w:t>条</w:t>
      </w:r>
      <w:r>
        <w:rPr>
          <w:b/>
          <w:bCs/>
          <w:lang w:eastAsia="zh-Hans"/>
        </w:rPr>
        <w:t xml:space="preserve"> </w:t>
      </w:r>
      <w:r>
        <w:rPr>
          <w:rFonts w:hint="eastAsia"/>
          <w:b/>
          <w:bCs/>
          <w:lang w:eastAsia="zh-Hans"/>
        </w:rPr>
        <w:t>【</w:t>
      </w:r>
      <w:r>
        <w:rPr>
          <w:rFonts w:hint="eastAsia"/>
          <w:b/>
          <w:bCs/>
        </w:rPr>
        <w:t>侵害商业秘密纠纷的种类】</w:t>
      </w:r>
    </w:p>
    <w:p>
      <w:pPr>
        <w:pStyle w:val="50"/>
        <w:spacing w:line="312" w:lineRule="auto"/>
        <w:ind w:firstLine="426"/>
      </w:pPr>
      <w:r>
        <w:rPr>
          <w:rFonts w:hint="eastAsia"/>
        </w:rPr>
        <w:t>因商业秘密可以分为技术秘密和经营秘密两大类，所以最高人民法院《民事案件案由规定》在一级案由知识产权与竞争纠纷中，将侵害商业秘密纠纷作为二级案由竞争纠纷之下的三级案由，且在三级案由之下又设置四级案由侵害技术秘密纠纷和侵害经营秘密纠纷。</w:t>
      </w:r>
    </w:p>
    <w:p>
      <w:pPr>
        <w:pStyle w:val="50"/>
        <w:spacing w:line="312" w:lineRule="auto"/>
        <w:ind w:firstLine="426"/>
        <w:rPr>
          <w:b/>
          <w:bCs/>
        </w:rPr>
      </w:pPr>
      <w:r>
        <w:rPr>
          <w:rFonts w:hint="eastAsia"/>
          <w:b/>
          <w:bCs/>
          <w:lang w:eastAsia="zh-Hans"/>
        </w:rPr>
        <w:t>第</w:t>
      </w:r>
      <w:r>
        <w:rPr>
          <w:b/>
          <w:bCs/>
          <w:lang w:eastAsia="zh-Hans"/>
        </w:rPr>
        <w:t>21</w:t>
      </w:r>
      <w:r>
        <w:rPr>
          <w:rFonts w:hint="eastAsia"/>
          <w:b/>
          <w:bCs/>
          <w:lang w:eastAsia="zh-Hans"/>
        </w:rPr>
        <w:t>条</w:t>
      </w:r>
      <w:r>
        <w:rPr>
          <w:b/>
          <w:bCs/>
          <w:lang w:eastAsia="zh-Hans"/>
        </w:rPr>
        <w:t xml:space="preserve"> </w:t>
      </w:r>
      <w:r>
        <w:rPr>
          <w:rFonts w:hint="eastAsia"/>
          <w:b/>
          <w:bCs/>
          <w:lang w:eastAsia="zh-Hans"/>
        </w:rPr>
        <w:t>【</w:t>
      </w:r>
      <w:r>
        <w:rPr>
          <w:rFonts w:hint="eastAsia"/>
          <w:b/>
          <w:bCs/>
        </w:rPr>
        <w:t>侵害商业秘密行为的构成要件】</w:t>
      </w:r>
    </w:p>
    <w:p>
      <w:pPr>
        <w:pStyle w:val="50"/>
        <w:spacing w:line="312" w:lineRule="auto"/>
        <w:ind w:firstLine="426"/>
      </w:pPr>
      <w:r>
        <w:t>21</w:t>
      </w:r>
      <w:r>
        <w:rPr>
          <w:rFonts w:hint="eastAsia"/>
          <w:lang w:eastAsia="zh-Hans"/>
        </w:rPr>
        <w:t>.</w:t>
      </w:r>
      <w:r>
        <w:rPr>
          <w:lang w:eastAsia="zh-Hans"/>
        </w:rPr>
        <w:t xml:space="preserve">1 </w:t>
      </w:r>
      <w:r>
        <w:rPr>
          <w:rFonts w:hint="eastAsia"/>
        </w:rPr>
        <w:t>商业秘密的权利基础符合法定要件</w:t>
      </w:r>
    </w:p>
    <w:p>
      <w:pPr>
        <w:pStyle w:val="50"/>
        <w:spacing w:line="312" w:lineRule="auto"/>
        <w:ind w:firstLine="426"/>
        <w:rPr>
          <w:color w:val="000000" w:themeColor="text1"/>
          <w14:textFill>
            <w14:solidFill>
              <w14:schemeClr w14:val="tx1"/>
            </w14:solidFill>
          </w14:textFill>
        </w:rPr>
      </w:pPr>
      <w:r>
        <w:t xml:space="preserve">（1） </w:t>
      </w:r>
      <w:r>
        <w:rPr>
          <w:rFonts w:hint="eastAsia"/>
        </w:rPr>
        <w:t>具有明确、具体的商业秘密的内容（秘密点）、</w:t>
      </w:r>
      <w:r>
        <w:rPr>
          <w:rFonts w:hint="eastAsia"/>
          <w:color w:val="000000" w:themeColor="text1"/>
          <w14:textFill>
            <w14:solidFill>
              <w14:schemeClr w14:val="tx1"/>
            </w14:solidFill>
          </w14:textFill>
        </w:rPr>
        <w:t>载体</w:t>
      </w:r>
    </w:p>
    <w:p>
      <w:pPr>
        <w:pStyle w:val="50"/>
        <w:spacing w:line="312" w:lineRule="auto"/>
        <w:ind w:firstLine="426"/>
      </w:pPr>
      <w:r>
        <w:rPr>
          <w:rFonts w:hint="eastAsia"/>
        </w:rPr>
        <w:t>商业秘密的保护范围明显不同于专利、商标。专利、商标具有主管部门授权的权利凭证，在授权时已经向公众公示了权利的内容，划分了权利边界，但商业秘密由于不为公众所知悉，事先不具有公示性，故其在主张权利时，必须确定商业秘密的内容，即秘密点，由秘密点来确定商业秘密的保护范围。</w:t>
      </w:r>
    </w:p>
    <w:p>
      <w:pPr>
        <w:pStyle w:val="50"/>
        <w:spacing w:line="312" w:lineRule="auto"/>
        <w:ind w:firstLine="426"/>
        <w:rPr>
          <w:color w:val="000000" w:themeColor="text1"/>
          <w14:textFill>
            <w14:solidFill>
              <w14:schemeClr w14:val="tx1"/>
            </w14:solidFill>
          </w14:textFill>
        </w:rPr>
      </w:pPr>
      <w:r>
        <w:rPr>
          <w:rFonts w:hint="eastAsia"/>
        </w:rPr>
        <w:t>商业秘密作为知识产权的客体，其具有无形性，</w:t>
      </w:r>
      <w:r>
        <w:rPr>
          <w:rFonts w:hint="eastAsia"/>
          <w:color w:val="000000" w:themeColor="text1"/>
          <w14:textFill>
            <w14:solidFill>
              <w14:schemeClr w14:val="tx1"/>
            </w14:solidFill>
          </w14:textFill>
        </w:rPr>
        <w:t>故商业秘密的内容必须通过有形的载体予以呈现。</w:t>
      </w:r>
    </w:p>
    <w:p>
      <w:pPr>
        <w:pStyle w:val="50"/>
        <w:spacing w:line="312" w:lineRule="auto"/>
        <w:ind w:firstLine="426"/>
      </w:pPr>
      <w:r>
        <w:rPr>
          <w:rFonts w:hint="eastAsia"/>
        </w:rPr>
        <w:t>权利人和被诉侵权人均通过可以提供证据、相关陈述来说明商业秘密的内容，但应在一审辩论终结前完成。</w:t>
      </w:r>
    </w:p>
    <w:p>
      <w:pPr>
        <w:pStyle w:val="50"/>
        <w:spacing w:line="312" w:lineRule="auto"/>
        <w:ind w:firstLine="426"/>
      </w:pPr>
      <w:r>
        <w:t xml:space="preserve">（2） </w:t>
      </w:r>
      <w:r>
        <w:rPr>
          <w:rFonts w:hint="eastAsia"/>
        </w:rPr>
        <w:t>商业秘密的内容符合法定条件</w:t>
      </w:r>
    </w:p>
    <w:p>
      <w:pPr>
        <w:pStyle w:val="50"/>
        <w:spacing w:line="312" w:lineRule="auto"/>
        <w:ind w:firstLine="426"/>
      </w:pPr>
      <w:r>
        <w:rPr>
          <w:rFonts w:hint="eastAsia"/>
        </w:rPr>
        <w:t>商业秘密的内容符合法定条件是指作为商业秘密的信息符合不为公众所知悉、具有商业价值、采取了相应的保密措施的要件。</w:t>
      </w:r>
    </w:p>
    <w:p>
      <w:pPr>
        <w:pStyle w:val="50"/>
        <w:spacing w:line="312" w:lineRule="auto"/>
        <w:ind w:firstLine="426"/>
      </w:pPr>
      <w:r>
        <w:t xml:space="preserve">（3） </w:t>
      </w:r>
      <w:r>
        <w:rPr>
          <w:rFonts w:hint="eastAsia"/>
        </w:rPr>
        <w:t>权利人对主张的商业秘密享有权利</w:t>
      </w:r>
    </w:p>
    <w:p>
      <w:pPr>
        <w:pStyle w:val="50"/>
        <w:spacing w:line="312" w:lineRule="auto"/>
        <w:ind w:firstLine="426"/>
      </w:pPr>
      <w:r>
        <w:rPr>
          <w:rFonts w:hint="eastAsia"/>
        </w:rPr>
        <w:t>商业秘密作为民事权益的一种，其产生方式与其他民事权益一样，具有原始取得和继受取得两种方式。但由于商业秘密没有权利凭证，故权利人对于其所主张的商业秘密，应提供证据证明其系原始取得或继受取得而成为合法的权利人。</w:t>
      </w:r>
    </w:p>
    <w:p>
      <w:pPr>
        <w:pStyle w:val="50"/>
        <w:spacing w:line="312" w:lineRule="auto"/>
        <w:ind w:firstLine="426"/>
      </w:pPr>
      <w:r>
        <w:t>21</w:t>
      </w:r>
      <w:r>
        <w:rPr>
          <w:rFonts w:hint="eastAsia"/>
          <w:lang w:eastAsia="zh-Hans"/>
        </w:rPr>
        <w:t>.</w:t>
      </w:r>
      <w:r>
        <w:rPr>
          <w:lang w:eastAsia="zh-Hans"/>
        </w:rPr>
        <w:t xml:space="preserve">2 </w:t>
      </w:r>
      <w:r>
        <w:rPr>
          <w:rFonts w:hint="eastAsia"/>
        </w:rPr>
        <w:t>被诉侵权行为人实施了侵害商业秘密的行为</w:t>
      </w:r>
    </w:p>
    <w:p>
      <w:pPr>
        <w:pStyle w:val="50"/>
        <w:spacing w:line="312" w:lineRule="auto"/>
        <w:ind w:firstLine="426"/>
      </w:pPr>
      <w:r>
        <w:rPr>
          <w:rFonts w:hint="eastAsia"/>
        </w:rPr>
        <w:t>侵害商业秘密的行为是指《反不正当竞争法》第九条所规定的行为，包括不正当手段获取和违反保密义务、保密要求。</w:t>
      </w:r>
    </w:p>
    <w:p>
      <w:pPr>
        <w:pStyle w:val="50"/>
        <w:spacing w:line="312" w:lineRule="auto"/>
        <w:ind w:firstLine="426"/>
      </w:pPr>
      <w:r>
        <w:t>21</w:t>
      </w:r>
      <w:r>
        <w:rPr>
          <w:rFonts w:hint="eastAsia"/>
          <w:lang w:eastAsia="zh-Hans"/>
        </w:rPr>
        <w:t>.</w:t>
      </w:r>
      <w:r>
        <w:rPr>
          <w:lang w:eastAsia="zh-Hans"/>
        </w:rPr>
        <w:t xml:space="preserve">3 </w:t>
      </w:r>
      <w:r>
        <w:rPr>
          <w:rFonts w:hint="eastAsia"/>
        </w:rPr>
        <w:t>被诉侵权行为人具有接触商业秘密的可能性</w:t>
      </w:r>
    </w:p>
    <w:p>
      <w:pPr>
        <w:pStyle w:val="50"/>
        <w:spacing w:line="312" w:lineRule="auto"/>
        <w:ind w:firstLine="0"/>
      </w:pPr>
      <w:r>
        <w:rPr>
          <w:rFonts w:hint="eastAsia"/>
        </w:rPr>
        <w:t xml:space="preserve">    因为商业秘密具有不为公众所知悉的特点，所以同样的商业秘密可以为不同的权利人同时享有，故权利人需要证明被诉侵权人对于商业秘密具有接触可能性，有渠道或者有机会获取商业秘密，才可以将不存在侵害商业秘密的行为举证责任转移给对方。</w:t>
      </w:r>
    </w:p>
    <w:p>
      <w:pPr>
        <w:pStyle w:val="50"/>
        <w:spacing w:line="312" w:lineRule="auto"/>
        <w:ind w:firstLine="426"/>
      </w:pPr>
      <w:r>
        <w:t>21</w:t>
      </w:r>
      <w:r>
        <w:rPr>
          <w:rFonts w:hint="eastAsia"/>
          <w:lang w:eastAsia="zh-Hans"/>
        </w:rPr>
        <w:t>.</w:t>
      </w:r>
      <w:r>
        <w:rPr>
          <w:lang w:eastAsia="zh-Hans"/>
        </w:rPr>
        <w:t xml:space="preserve">4 </w:t>
      </w:r>
      <w:r>
        <w:rPr>
          <w:rFonts w:hint="eastAsia"/>
        </w:rPr>
        <w:t>被诉侵权信息与商业秘密相同或实质相同</w:t>
      </w:r>
    </w:p>
    <w:p>
      <w:pPr>
        <w:pStyle w:val="50"/>
        <w:spacing w:line="312" w:lineRule="auto"/>
        <w:ind w:firstLine="0"/>
      </w:pPr>
      <w:r>
        <w:rPr>
          <w:rFonts w:hint="eastAsia"/>
        </w:rPr>
        <w:t xml:space="preserve">    商业秘密的每一项秘密点即构成一项独立的民事权益，具有相应的保护范围。权利人可以在一件案件中，主张一项或一项以上的秘密点，只要被诉侵权信息与其中一项秘密点相同或实质相同，即落入保护范围。</w:t>
      </w:r>
    </w:p>
    <w:p>
      <w:pPr>
        <w:pStyle w:val="50"/>
        <w:spacing w:line="312" w:lineRule="auto"/>
        <w:ind w:firstLine="426"/>
      </w:pPr>
      <w:r>
        <w:t>21</w:t>
      </w:r>
      <w:r>
        <w:rPr>
          <w:rFonts w:hint="eastAsia"/>
          <w:lang w:eastAsia="zh-Hans"/>
        </w:rPr>
        <w:t>.</w:t>
      </w:r>
      <w:r>
        <w:rPr>
          <w:lang w:eastAsia="zh-Hans"/>
        </w:rPr>
        <w:t xml:space="preserve">5 </w:t>
      </w:r>
      <w:r>
        <w:rPr>
          <w:rFonts w:hint="eastAsia"/>
        </w:rPr>
        <w:t>因商业秘密被侵害遭受的损失</w:t>
      </w:r>
    </w:p>
    <w:p>
      <w:pPr>
        <w:pStyle w:val="50"/>
        <w:spacing w:line="312" w:lineRule="auto"/>
        <w:ind w:firstLine="0"/>
      </w:pPr>
      <w:r>
        <w:rPr>
          <w:rFonts w:hint="eastAsia"/>
        </w:rPr>
        <w:t xml:space="preserve">    权利人受到的实际损失、侵权人因侵权所获得的利益、商业秘密的许可价值、侵权人恶意重复侵权、合理开支等。</w:t>
      </w:r>
    </w:p>
    <w:p>
      <w:pPr>
        <w:pStyle w:val="50"/>
        <w:spacing w:line="312" w:lineRule="auto"/>
        <w:ind w:firstLine="426"/>
        <w:rPr>
          <w:b/>
          <w:bCs/>
        </w:rPr>
      </w:pPr>
      <w:r>
        <w:rPr>
          <w:rFonts w:hint="eastAsia"/>
          <w:b/>
          <w:bCs/>
          <w:lang w:eastAsia="zh-Hans"/>
        </w:rPr>
        <w:t>第</w:t>
      </w:r>
      <w:r>
        <w:rPr>
          <w:b/>
          <w:bCs/>
          <w:lang w:eastAsia="zh-Hans"/>
        </w:rPr>
        <w:t>22</w:t>
      </w:r>
      <w:r>
        <w:rPr>
          <w:rFonts w:hint="eastAsia"/>
          <w:b/>
          <w:bCs/>
          <w:lang w:eastAsia="zh-Hans"/>
        </w:rPr>
        <w:t>条</w:t>
      </w:r>
      <w:r>
        <w:rPr>
          <w:b/>
          <w:bCs/>
          <w:lang w:eastAsia="zh-Hans"/>
        </w:rPr>
        <w:t xml:space="preserve"> </w:t>
      </w:r>
      <w:r>
        <w:rPr>
          <w:rFonts w:hint="eastAsia"/>
          <w:b/>
          <w:bCs/>
          <w:lang w:eastAsia="zh-Hans"/>
        </w:rPr>
        <w:t>【</w:t>
      </w:r>
      <w:r>
        <w:rPr>
          <w:rFonts w:hint="eastAsia"/>
          <w:b/>
          <w:bCs/>
        </w:rPr>
        <w:t>不侵犯商业秘密的抗辩理由】</w:t>
      </w:r>
    </w:p>
    <w:p>
      <w:pPr>
        <w:pStyle w:val="50"/>
        <w:spacing w:line="312" w:lineRule="auto"/>
        <w:ind w:firstLine="426"/>
      </w:pPr>
      <w:r>
        <w:t>22</w:t>
      </w:r>
      <w:r>
        <w:rPr>
          <w:rFonts w:hint="eastAsia"/>
          <w:lang w:eastAsia="zh-Hans"/>
        </w:rPr>
        <w:t>.</w:t>
      </w:r>
      <w:r>
        <w:rPr>
          <w:lang w:eastAsia="zh-Hans"/>
        </w:rPr>
        <w:t xml:space="preserve">1 </w:t>
      </w:r>
      <w:r>
        <w:rPr>
          <w:rFonts w:hint="eastAsia"/>
        </w:rPr>
        <w:t>权利人主张的商业秘密的载体、内容不符合法定条件</w:t>
      </w:r>
    </w:p>
    <w:p>
      <w:pPr>
        <w:pStyle w:val="50"/>
        <w:spacing w:line="312" w:lineRule="auto"/>
        <w:ind w:firstLine="0"/>
      </w:pPr>
      <w:r>
        <w:rPr>
          <w:rFonts w:hint="eastAsia"/>
        </w:rPr>
        <w:t xml:space="preserve">    权利人主张被诉侵权人侵</w:t>
      </w:r>
      <w:r>
        <w:rPr>
          <w:rFonts w:hint="eastAsia"/>
          <w:lang w:eastAsia="zh-Hans"/>
        </w:rPr>
        <w:t>犯</w:t>
      </w:r>
      <w:r>
        <w:rPr>
          <w:rFonts w:hint="eastAsia"/>
        </w:rPr>
        <w:t>其商业秘密，需要提供证据证明其所主张的商业秘密的载体、内容符合法定条件，但这并不妨碍被诉侵权人提供反证，以证明权利人主张的商业秘密不符合法定条件。</w:t>
      </w:r>
    </w:p>
    <w:p>
      <w:pPr>
        <w:pStyle w:val="50"/>
        <w:spacing w:line="312" w:lineRule="auto"/>
        <w:ind w:firstLine="426"/>
      </w:pPr>
      <w:r>
        <w:t>22</w:t>
      </w:r>
      <w:r>
        <w:rPr>
          <w:rFonts w:hint="eastAsia"/>
          <w:lang w:eastAsia="zh-Hans"/>
        </w:rPr>
        <w:t>.</w:t>
      </w:r>
      <w:r>
        <w:rPr>
          <w:lang w:eastAsia="zh-Hans"/>
        </w:rPr>
        <w:t xml:space="preserve">2 </w:t>
      </w:r>
      <w:r>
        <w:rPr>
          <w:rFonts w:hint="eastAsia"/>
        </w:rPr>
        <w:t>合法来源和反向工程抗辩</w:t>
      </w:r>
    </w:p>
    <w:p>
      <w:pPr>
        <w:pStyle w:val="50"/>
        <w:spacing w:line="312" w:lineRule="auto"/>
        <w:ind w:firstLine="426"/>
      </w:pPr>
      <w:r>
        <w:rPr>
          <w:rFonts w:hint="eastAsia"/>
        </w:rPr>
        <w:t>合法来源是指获取或使用的商业秘密的手段不属于《反不正当竞争法》规定的禁止行为，如自行研发或从其他合法权利人处继受取得。反向工程</w:t>
      </w:r>
      <w:r>
        <w:t>是指通过技术手段对从公开渠道取得的产品进行拆卸、测绘、分析等而获得该产品的有关技术信息，</w:t>
      </w:r>
      <w:r>
        <w:rPr>
          <w:rFonts w:hint="eastAsia"/>
        </w:rPr>
        <w:t>但</w:t>
      </w:r>
      <w:r>
        <w:t>被诉侵权人以不正当手段获取权利人的商业秘密后，又以反向工程为由主张未侵犯商业秘密的，人民法院不予支持</w:t>
      </w:r>
      <w:r>
        <w:rPr>
          <w:rFonts w:hint="eastAsia"/>
        </w:rPr>
        <w:t>。</w:t>
      </w:r>
    </w:p>
    <w:p>
      <w:pPr>
        <w:pStyle w:val="50"/>
        <w:spacing w:line="312" w:lineRule="auto"/>
        <w:ind w:firstLine="426"/>
      </w:pPr>
      <w:r>
        <w:t>22</w:t>
      </w:r>
      <w:r>
        <w:rPr>
          <w:rFonts w:hint="eastAsia"/>
          <w:lang w:eastAsia="zh-Hans"/>
        </w:rPr>
        <w:t>.</w:t>
      </w:r>
      <w:r>
        <w:rPr>
          <w:lang w:eastAsia="zh-Hans"/>
        </w:rPr>
        <w:t xml:space="preserve">3 </w:t>
      </w:r>
      <w:r>
        <w:rPr>
          <w:rFonts w:hint="eastAsia"/>
        </w:rPr>
        <w:t>信赖交易抗辩</w:t>
      </w:r>
    </w:p>
    <w:p>
      <w:pPr>
        <w:pStyle w:val="50"/>
        <w:spacing w:line="312" w:lineRule="auto"/>
        <w:ind w:firstLine="426"/>
      </w:pPr>
      <w:r>
        <w:t>客户基于对员工个人的信赖而与该员工所在单位进行交易，该员工离职后，能够证明客户自愿选择与该员工或者该员工所在的新单位进行交易的，人民法院应当认定该员工没有采用不正当手段获取权利人的商业秘密。</w:t>
      </w:r>
    </w:p>
    <w:p>
      <w:pPr>
        <w:pStyle w:val="50"/>
        <w:spacing w:line="312" w:lineRule="auto"/>
        <w:ind w:firstLine="426"/>
      </w:pPr>
      <w:r>
        <w:t>22</w:t>
      </w:r>
      <w:r>
        <w:rPr>
          <w:rFonts w:hint="eastAsia"/>
          <w:lang w:eastAsia="zh-Hans"/>
        </w:rPr>
        <w:t>.</w:t>
      </w:r>
      <w:r>
        <w:rPr>
          <w:lang w:eastAsia="zh-Hans"/>
        </w:rPr>
        <w:t xml:space="preserve">4 </w:t>
      </w:r>
      <w:r>
        <w:rPr>
          <w:rFonts w:hint="eastAsia"/>
        </w:rPr>
        <w:t>对商业秘密无接触或接触可能性抗辩</w:t>
      </w:r>
    </w:p>
    <w:p>
      <w:pPr>
        <w:pStyle w:val="50"/>
        <w:spacing w:line="312" w:lineRule="auto"/>
        <w:ind w:firstLine="426"/>
      </w:pPr>
      <w:r>
        <w:t>22</w:t>
      </w:r>
      <w:r>
        <w:rPr>
          <w:rFonts w:hint="eastAsia"/>
          <w:lang w:eastAsia="zh-Hans"/>
        </w:rPr>
        <w:t>.</w:t>
      </w:r>
      <w:r>
        <w:rPr>
          <w:lang w:eastAsia="zh-Hans"/>
        </w:rPr>
        <w:t xml:space="preserve">5 </w:t>
      </w:r>
      <w:r>
        <w:rPr>
          <w:rFonts w:hint="eastAsia"/>
        </w:rPr>
        <w:t>被诉侵权信息与权利人主张的商业秘密不相同抗辩</w:t>
      </w:r>
    </w:p>
    <w:p>
      <w:pPr>
        <w:pStyle w:val="50"/>
        <w:spacing w:line="312" w:lineRule="auto"/>
        <w:ind w:firstLine="426"/>
      </w:pPr>
      <w:r>
        <w:rPr>
          <w:rFonts w:hint="eastAsia"/>
        </w:rPr>
        <w:t>针对权利人主张的秘密点的内容，对被诉侵权信息予以一一比对分析，找出不相同或存在实质性区别的内容。</w:t>
      </w:r>
    </w:p>
    <w:p>
      <w:pPr>
        <w:pStyle w:val="50"/>
        <w:spacing w:line="312" w:lineRule="auto"/>
        <w:ind w:firstLine="426"/>
      </w:pPr>
      <w:r>
        <w:t>22</w:t>
      </w:r>
      <w:r>
        <w:rPr>
          <w:rFonts w:hint="eastAsia"/>
          <w:lang w:eastAsia="zh-Hans"/>
        </w:rPr>
        <w:t>.</w:t>
      </w:r>
      <w:r>
        <w:rPr>
          <w:lang w:eastAsia="zh-Hans"/>
        </w:rPr>
        <w:t xml:space="preserve">6 </w:t>
      </w:r>
      <w:r>
        <w:rPr>
          <w:rFonts w:hint="eastAsia"/>
        </w:rPr>
        <w:t>权属争议抗辩</w:t>
      </w:r>
    </w:p>
    <w:p>
      <w:pPr>
        <w:pStyle w:val="50"/>
        <w:spacing w:line="312" w:lineRule="auto"/>
        <w:ind w:firstLine="426"/>
      </w:pPr>
      <w:r>
        <w:rPr>
          <w:rFonts w:hint="eastAsia"/>
        </w:rPr>
        <w:t>对权利人是否系诉争商业秘密的合法拥有人资格提出异议。</w:t>
      </w:r>
    </w:p>
    <w:p>
      <w:pPr>
        <w:pStyle w:val="50"/>
        <w:spacing w:line="312" w:lineRule="auto"/>
        <w:ind w:firstLine="426"/>
      </w:pPr>
      <w:r>
        <w:t>22</w:t>
      </w:r>
      <w:r>
        <w:rPr>
          <w:rFonts w:hint="eastAsia"/>
          <w:lang w:eastAsia="zh-Hans"/>
        </w:rPr>
        <w:t>.</w:t>
      </w:r>
      <w:r>
        <w:rPr>
          <w:lang w:eastAsia="zh-Hans"/>
        </w:rPr>
        <w:t xml:space="preserve">7 </w:t>
      </w:r>
      <w:r>
        <w:rPr>
          <w:rFonts w:hint="eastAsia"/>
        </w:rPr>
        <w:t>没有给权利人造成损失或没有获利的抗辩</w:t>
      </w:r>
    </w:p>
    <w:p>
      <w:pPr>
        <w:pStyle w:val="50"/>
        <w:spacing w:line="312" w:lineRule="auto"/>
        <w:ind w:firstLine="426"/>
      </w:pPr>
      <w:r>
        <w:rPr>
          <w:rFonts w:hint="eastAsia"/>
        </w:rPr>
        <w:t>例如被诉侵权人获取商业秘密后既没有实际使用，也没有泄露或公开。</w:t>
      </w:r>
    </w:p>
    <w:p>
      <w:pPr>
        <w:pStyle w:val="50"/>
        <w:spacing w:line="312" w:lineRule="auto"/>
        <w:ind w:firstLine="426"/>
        <w:rPr>
          <w:b/>
          <w:bCs/>
        </w:rPr>
      </w:pPr>
      <w:r>
        <w:rPr>
          <w:rFonts w:hint="eastAsia"/>
          <w:b/>
          <w:bCs/>
          <w:lang w:eastAsia="zh-Hans"/>
        </w:rPr>
        <w:t>第</w:t>
      </w:r>
      <w:r>
        <w:rPr>
          <w:b/>
          <w:bCs/>
          <w:lang w:eastAsia="zh-Hans"/>
        </w:rPr>
        <w:t>23</w:t>
      </w:r>
      <w:r>
        <w:rPr>
          <w:rFonts w:hint="eastAsia"/>
          <w:b/>
          <w:bCs/>
          <w:lang w:eastAsia="zh-Hans"/>
        </w:rPr>
        <w:t>条</w:t>
      </w:r>
      <w:r>
        <w:rPr>
          <w:b/>
          <w:bCs/>
          <w:lang w:eastAsia="zh-Hans"/>
        </w:rPr>
        <w:t xml:space="preserve"> </w:t>
      </w:r>
      <w:r>
        <w:rPr>
          <w:rFonts w:hint="eastAsia"/>
          <w:b/>
          <w:bCs/>
          <w:lang w:eastAsia="zh-Hans"/>
        </w:rPr>
        <w:t>【</w:t>
      </w:r>
      <w:r>
        <w:rPr>
          <w:rFonts w:hint="eastAsia"/>
          <w:b/>
          <w:bCs/>
        </w:rPr>
        <w:t>其他】</w:t>
      </w:r>
    </w:p>
    <w:p>
      <w:pPr>
        <w:pStyle w:val="50"/>
        <w:spacing w:line="312" w:lineRule="auto"/>
        <w:ind w:firstLine="426"/>
      </w:pPr>
      <w:r>
        <w:rPr>
          <w:rFonts w:hint="eastAsia"/>
        </w:rPr>
        <w:t>本指引系以律师办理侵</w:t>
      </w:r>
      <w:r>
        <w:rPr>
          <w:rFonts w:hint="eastAsia"/>
          <w:lang w:eastAsia="zh-Hans"/>
        </w:rPr>
        <w:t>害</w:t>
      </w:r>
      <w:r>
        <w:rPr>
          <w:rFonts w:hint="eastAsia"/>
        </w:rPr>
        <w:t>商业秘密纠纷案件业务为视角进行阐述，以下各章节对侵害商业秘密纠纷案件的证据收集与整理等诉前工作、一审程序、二审程序、证据保全等其他常规程序等均作了详细的指引，故在本节中不再重复，有关内容请参见后续章节。</w:t>
      </w:r>
    </w:p>
    <w:p>
      <w:pPr>
        <w:pStyle w:val="3"/>
        <w:spacing w:after="0" w:line="312" w:lineRule="auto"/>
        <w:jc w:val="center"/>
        <w:rPr>
          <w:sz w:val="28"/>
          <w:szCs w:val="28"/>
        </w:rPr>
      </w:pPr>
      <w:bookmarkStart w:id="22" w:name="_Toc122294620"/>
      <w:r>
        <w:rPr>
          <w:rFonts w:hint="eastAsia"/>
          <w:sz w:val="28"/>
          <w:szCs w:val="28"/>
        </w:rPr>
        <w:t>第二节  确认不侵害商业秘密纠纷</w:t>
      </w:r>
      <w:bookmarkEnd w:id="22"/>
    </w:p>
    <w:p>
      <w:pPr>
        <w:pStyle w:val="50"/>
        <w:spacing w:line="312" w:lineRule="auto"/>
        <w:ind w:firstLine="426"/>
        <w:rPr>
          <w:b/>
          <w:bCs/>
        </w:rPr>
      </w:pPr>
      <w:r>
        <w:rPr>
          <w:rFonts w:hint="eastAsia"/>
          <w:b/>
          <w:bCs/>
          <w:lang w:eastAsia="zh-Hans"/>
        </w:rPr>
        <w:t>第</w:t>
      </w:r>
      <w:r>
        <w:rPr>
          <w:b/>
          <w:bCs/>
          <w:lang w:eastAsia="zh-Hans"/>
        </w:rPr>
        <w:t>24</w:t>
      </w:r>
      <w:r>
        <w:rPr>
          <w:rFonts w:hint="eastAsia"/>
          <w:b/>
          <w:bCs/>
          <w:lang w:eastAsia="zh-Hans"/>
        </w:rPr>
        <w:t>条</w:t>
      </w:r>
      <w:r>
        <w:rPr>
          <w:b/>
          <w:bCs/>
          <w:lang w:eastAsia="zh-Hans"/>
        </w:rPr>
        <w:t xml:space="preserve"> </w:t>
      </w:r>
      <w:r>
        <w:rPr>
          <w:rFonts w:hint="eastAsia"/>
          <w:b/>
          <w:bCs/>
          <w:lang w:eastAsia="zh-Hans"/>
        </w:rPr>
        <w:t>【</w:t>
      </w:r>
      <w:r>
        <w:rPr>
          <w:rFonts w:hint="eastAsia"/>
          <w:b/>
          <w:bCs/>
        </w:rPr>
        <w:t>确认不侵害商业秘密诉讼的性质】</w:t>
      </w:r>
    </w:p>
    <w:p>
      <w:pPr>
        <w:pStyle w:val="50"/>
        <w:spacing w:line="312" w:lineRule="auto"/>
        <w:ind w:firstLine="426"/>
      </w:pPr>
      <w:r>
        <w:rPr>
          <w:rFonts w:hint="eastAsia"/>
        </w:rPr>
        <w:t>《民事案件案由规定》在确认不侵害知识产权纠纷案由中没有包括确认不侵害商业秘密纠纷，这是因为商业秘密本身是权利还是法益尚存争议。在《民法典》将商业秘密作为知识产权的客体后，确认不侵害商业秘密作为确权之诉的一类，也是具有实务价值的，在实务中已有此案例。</w:t>
      </w:r>
    </w:p>
    <w:p>
      <w:pPr>
        <w:pStyle w:val="50"/>
        <w:spacing w:line="312" w:lineRule="auto"/>
        <w:ind w:firstLine="426"/>
      </w:pPr>
      <w:r>
        <w:rPr>
          <w:rFonts w:hint="eastAsia"/>
        </w:rPr>
        <w:t>【案例】丹东克隆集团有限责任公司与江西华电电力有限责任公司侵害商业秘密纠纷申请再审案。</w:t>
      </w:r>
      <w:r>
        <w:t>（2015）民申字第628号</w:t>
      </w:r>
    </w:p>
    <w:p>
      <w:pPr>
        <w:pStyle w:val="50"/>
        <w:spacing w:line="312" w:lineRule="auto"/>
        <w:ind w:firstLine="426"/>
        <w:rPr>
          <w:b/>
          <w:bCs/>
        </w:rPr>
      </w:pPr>
      <w:r>
        <w:rPr>
          <w:rFonts w:hint="eastAsia"/>
          <w:b/>
          <w:bCs/>
          <w:lang w:eastAsia="zh-Hans"/>
        </w:rPr>
        <w:t>第</w:t>
      </w:r>
      <w:r>
        <w:rPr>
          <w:b/>
          <w:bCs/>
          <w:lang w:eastAsia="zh-Hans"/>
        </w:rPr>
        <w:t>25</w:t>
      </w:r>
      <w:r>
        <w:rPr>
          <w:rFonts w:hint="eastAsia"/>
          <w:b/>
          <w:bCs/>
          <w:lang w:eastAsia="zh-Hans"/>
        </w:rPr>
        <w:t>条</w:t>
      </w:r>
      <w:r>
        <w:rPr>
          <w:b/>
          <w:bCs/>
          <w:lang w:eastAsia="zh-Hans"/>
        </w:rPr>
        <w:t xml:space="preserve"> </w:t>
      </w:r>
      <w:r>
        <w:rPr>
          <w:rFonts w:hint="eastAsia"/>
          <w:b/>
          <w:bCs/>
          <w:lang w:eastAsia="zh-Hans"/>
        </w:rPr>
        <w:t>【</w:t>
      </w:r>
      <w:r>
        <w:rPr>
          <w:rFonts w:hint="eastAsia"/>
          <w:b/>
          <w:bCs/>
        </w:rPr>
        <w:t>原告的举证要点】</w:t>
      </w:r>
    </w:p>
    <w:p>
      <w:pPr>
        <w:pStyle w:val="50"/>
        <w:spacing w:line="312" w:lineRule="auto"/>
        <w:ind w:firstLine="426"/>
      </w:pPr>
      <w:r>
        <w:rPr>
          <w:rFonts w:hint="eastAsia"/>
        </w:rPr>
        <w:t>（1）</w:t>
      </w:r>
      <w:r>
        <w:t xml:space="preserve"> 被告向原告发出</w:t>
      </w:r>
      <w:r>
        <w:rPr>
          <w:rFonts w:hint="eastAsia"/>
        </w:rPr>
        <w:t>侵犯其商业秘密的</w:t>
      </w:r>
      <w:r>
        <w:t>警告或者对原告进行</w:t>
      </w:r>
      <w:r>
        <w:rPr>
          <w:rFonts w:hint="eastAsia"/>
        </w:rPr>
        <w:t>侵犯商业秘密的</w:t>
      </w:r>
      <w:r>
        <w:t>投诉；</w:t>
      </w:r>
    </w:p>
    <w:p>
      <w:pPr>
        <w:pStyle w:val="50"/>
        <w:spacing w:line="312" w:lineRule="auto"/>
        <w:ind w:firstLine="426"/>
      </w:pPr>
      <w:r>
        <w:rPr>
          <w:rFonts w:hint="eastAsia"/>
        </w:rPr>
        <w:t>（2）</w:t>
      </w:r>
      <w:r>
        <w:t>原告向被告发出诉权行使催告及催告时间、送达时间；</w:t>
      </w:r>
    </w:p>
    <w:p>
      <w:pPr>
        <w:pStyle w:val="50"/>
        <w:spacing w:line="312" w:lineRule="auto"/>
        <w:ind w:firstLine="426"/>
      </w:pPr>
      <w:r>
        <w:t>（</w:t>
      </w:r>
      <w:r>
        <w:rPr>
          <w:rFonts w:hint="eastAsia"/>
        </w:rPr>
        <w:t>3</w:t>
      </w:r>
      <w:r>
        <w:t>）被告未在合理期限内提起诉讼。</w:t>
      </w:r>
    </w:p>
    <w:p>
      <w:pPr>
        <w:pStyle w:val="50"/>
        <w:spacing w:line="312" w:lineRule="auto"/>
        <w:ind w:firstLine="426"/>
      </w:pPr>
      <w:r>
        <w:rPr>
          <w:rFonts w:hint="eastAsia"/>
        </w:rPr>
        <w:t>【法条】《最高人民法院关于知识产权民事诉讼证据的若干规定》第五条。</w:t>
      </w:r>
    </w:p>
    <w:p>
      <w:pPr>
        <w:pStyle w:val="50"/>
        <w:spacing w:line="312" w:lineRule="auto"/>
        <w:ind w:firstLine="426"/>
        <w:rPr>
          <w:b/>
          <w:bCs/>
        </w:rPr>
      </w:pPr>
      <w:r>
        <w:rPr>
          <w:rFonts w:hint="eastAsia"/>
          <w:b/>
          <w:bCs/>
          <w:lang w:eastAsia="zh-Hans"/>
        </w:rPr>
        <w:t>第</w:t>
      </w:r>
      <w:r>
        <w:rPr>
          <w:b/>
          <w:bCs/>
          <w:lang w:eastAsia="zh-Hans"/>
        </w:rPr>
        <w:t>26</w:t>
      </w:r>
      <w:r>
        <w:rPr>
          <w:rFonts w:hint="eastAsia"/>
          <w:b/>
          <w:bCs/>
          <w:lang w:eastAsia="zh-Hans"/>
        </w:rPr>
        <w:t>条</w:t>
      </w:r>
      <w:r>
        <w:rPr>
          <w:b/>
          <w:bCs/>
          <w:lang w:eastAsia="zh-Hans"/>
        </w:rPr>
        <w:t xml:space="preserve"> </w:t>
      </w:r>
      <w:r>
        <w:rPr>
          <w:rFonts w:hint="eastAsia"/>
          <w:b/>
          <w:bCs/>
          <w:lang w:eastAsia="zh-Hans"/>
        </w:rPr>
        <w:t>【</w:t>
      </w:r>
      <w:r>
        <w:rPr>
          <w:rFonts w:hint="eastAsia"/>
          <w:b/>
          <w:bCs/>
        </w:rPr>
        <w:t>被告的举证要点】</w:t>
      </w:r>
    </w:p>
    <w:p>
      <w:pPr>
        <w:pStyle w:val="50"/>
        <w:spacing w:line="312" w:lineRule="auto"/>
        <w:ind w:firstLine="426"/>
      </w:pPr>
      <w:r>
        <w:rPr>
          <w:rFonts w:hint="eastAsia"/>
        </w:rPr>
        <w:t>（1）被告在侵权警告函中主张的商业秘密的载体、内容符合法定条件；</w:t>
      </w:r>
    </w:p>
    <w:p>
      <w:pPr>
        <w:pStyle w:val="50"/>
        <w:spacing w:line="312" w:lineRule="auto"/>
        <w:ind w:firstLine="426"/>
      </w:pPr>
      <w:r>
        <w:rPr>
          <w:rFonts w:hint="eastAsia"/>
        </w:rPr>
        <w:t>（2）原告实施了《反不正当竞争法》规定的侵</w:t>
      </w:r>
      <w:r>
        <w:rPr>
          <w:rFonts w:hint="eastAsia"/>
          <w:lang w:eastAsia="zh-Hans"/>
        </w:rPr>
        <w:t>犯</w:t>
      </w:r>
      <w:r>
        <w:rPr>
          <w:rFonts w:hint="eastAsia"/>
        </w:rPr>
        <w:t>商业秘密的行为；</w:t>
      </w:r>
    </w:p>
    <w:p>
      <w:pPr>
        <w:pStyle w:val="50"/>
        <w:spacing w:line="312" w:lineRule="auto"/>
        <w:ind w:firstLine="426"/>
      </w:pPr>
      <w:r>
        <w:rPr>
          <w:rFonts w:hint="eastAsia"/>
        </w:rPr>
        <w:t>（3）原告接触被告商业秘密或者有接触可能性；</w:t>
      </w:r>
    </w:p>
    <w:p>
      <w:pPr>
        <w:pStyle w:val="50"/>
        <w:spacing w:line="312" w:lineRule="auto"/>
        <w:ind w:firstLine="426"/>
      </w:pPr>
      <w:r>
        <w:rPr>
          <w:rFonts w:hint="eastAsia"/>
        </w:rPr>
        <w:t>（4）原告的信息与被告的商业秘密相同或实质相同。</w:t>
      </w:r>
    </w:p>
    <w:p>
      <w:pPr>
        <w:pStyle w:val="50"/>
        <w:spacing w:line="312" w:lineRule="auto"/>
        <w:ind w:firstLine="426"/>
        <w:rPr>
          <w:b/>
          <w:bCs/>
        </w:rPr>
      </w:pPr>
      <w:r>
        <w:rPr>
          <w:rFonts w:hint="eastAsia"/>
          <w:b/>
          <w:bCs/>
          <w:lang w:eastAsia="zh-Hans"/>
        </w:rPr>
        <w:t>第</w:t>
      </w:r>
      <w:r>
        <w:rPr>
          <w:b/>
          <w:bCs/>
          <w:lang w:eastAsia="zh-Hans"/>
        </w:rPr>
        <w:t>27</w:t>
      </w:r>
      <w:r>
        <w:rPr>
          <w:rFonts w:hint="eastAsia"/>
          <w:b/>
          <w:bCs/>
          <w:lang w:eastAsia="zh-Hans"/>
        </w:rPr>
        <w:t>条</w:t>
      </w:r>
      <w:r>
        <w:rPr>
          <w:b/>
          <w:bCs/>
          <w:lang w:eastAsia="zh-Hans"/>
        </w:rPr>
        <w:t xml:space="preserve"> </w:t>
      </w:r>
      <w:r>
        <w:rPr>
          <w:rFonts w:hint="eastAsia"/>
          <w:b/>
          <w:bCs/>
          <w:lang w:eastAsia="zh-Hans"/>
        </w:rPr>
        <w:t>【</w:t>
      </w:r>
      <w:r>
        <w:rPr>
          <w:rFonts w:hint="eastAsia"/>
          <w:b/>
          <w:bCs/>
          <w:color w:val="000000" w:themeColor="text1"/>
          <w:lang w:eastAsia="zh-Hans"/>
          <w14:textFill>
            <w14:solidFill>
              <w14:schemeClr w14:val="tx1"/>
            </w14:solidFill>
          </w14:textFill>
        </w:rPr>
        <w:t>确认不侵权诉讼中的</w:t>
      </w:r>
      <w:r>
        <w:rPr>
          <w:rFonts w:hint="eastAsia"/>
          <w:b/>
          <w:bCs/>
          <w:color w:val="000000" w:themeColor="text1"/>
          <w14:textFill>
            <w14:solidFill>
              <w14:schemeClr w14:val="tx1"/>
            </w14:solidFill>
          </w14:textFill>
        </w:rPr>
        <w:t>应诉风险</w:t>
      </w:r>
      <w:r>
        <w:rPr>
          <w:rFonts w:hint="eastAsia"/>
          <w:b/>
          <w:bCs/>
        </w:rPr>
        <w:t>】</w:t>
      </w:r>
    </w:p>
    <w:p>
      <w:pPr>
        <w:pStyle w:val="50"/>
        <w:spacing w:line="312" w:lineRule="auto"/>
        <w:ind w:firstLine="426"/>
        <w:rPr>
          <w:color w:val="000000" w:themeColor="text1"/>
          <w14:textFill>
            <w14:solidFill>
              <w14:schemeClr w14:val="tx1"/>
            </w14:solidFill>
          </w14:textFill>
        </w:rPr>
      </w:pPr>
      <w:r>
        <w:rPr>
          <w:rFonts w:hint="eastAsia"/>
        </w:rPr>
        <w:t>为了防止泄密，作为商业秘密的权利人在向对方发送侵权警告函中一般不会明确其所主张的商业秘密的具体内容。因此，在被诉侵权人提起确认不侵权诉讼后，权利人一方就有义务向法院提交商业秘密符合法定条件的证据，由此可能造成二次泄密的风险。同理，权利人也有可能在无法知晓对方信息的具体内容的情况下发送侵权警告函。</w:t>
      </w:r>
      <w:r>
        <w:rPr>
          <w:rFonts w:hint="eastAsia"/>
          <w:color w:val="000000" w:themeColor="text1"/>
          <w14:textFill>
            <w14:solidFill>
              <w14:schemeClr w14:val="tx1"/>
            </w14:solidFill>
          </w14:textFill>
        </w:rPr>
        <w:t>被诉侵权人一旦提起确认不侵权诉讼，就会将被诉侵权的信息提交法院用于比对。在这一过程中，也有可能导致属于被诉侵权人商业秘密的</w:t>
      </w:r>
      <w:r>
        <w:rPr>
          <w:color w:val="000000" w:themeColor="text1"/>
          <w14:textFill>
            <w14:solidFill>
              <w14:schemeClr w14:val="tx1"/>
            </w14:solidFill>
          </w14:textFill>
        </w:rPr>
        <w:t>被诉</w:t>
      </w:r>
      <w:r>
        <w:rPr>
          <w:rFonts w:hint="eastAsia"/>
          <w:color w:val="000000" w:themeColor="text1"/>
          <w14:textFill>
            <w14:solidFill>
              <w14:schemeClr w14:val="tx1"/>
            </w14:solidFill>
          </w14:textFill>
        </w:rPr>
        <w:t>侵权信息得以泄密的风险。</w:t>
      </w:r>
    </w:p>
    <w:p>
      <w:pPr>
        <w:pStyle w:val="3"/>
        <w:spacing w:after="0" w:line="312" w:lineRule="auto"/>
        <w:jc w:val="center"/>
        <w:rPr>
          <w:sz w:val="28"/>
          <w:szCs w:val="28"/>
        </w:rPr>
      </w:pPr>
      <w:bookmarkStart w:id="23" w:name="_Toc122294621"/>
      <w:r>
        <w:rPr>
          <w:rFonts w:hint="eastAsia"/>
          <w:sz w:val="28"/>
          <w:szCs w:val="28"/>
        </w:rPr>
        <w:t>第三节  商业秘密合同纠纷</w:t>
      </w:r>
      <w:bookmarkEnd w:id="23"/>
    </w:p>
    <w:p>
      <w:pPr>
        <w:pStyle w:val="50"/>
        <w:spacing w:line="312" w:lineRule="auto"/>
        <w:ind w:firstLine="426"/>
        <w:rPr>
          <w:b/>
          <w:bCs/>
        </w:rPr>
      </w:pPr>
      <w:r>
        <w:rPr>
          <w:rFonts w:hint="eastAsia"/>
          <w:b/>
          <w:bCs/>
          <w:lang w:eastAsia="zh-Hans"/>
        </w:rPr>
        <w:t>第</w:t>
      </w:r>
      <w:r>
        <w:rPr>
          <w:b/>
          <w:bCs/>
          <w:lang w:eastAsia="zh-Hans"/>
        </w:rPr>
        <w:t>28</w:t>
      </w:r>
      <w:r>
        <w:rPr>
          <w:rFonts w:hint="eastAsia"/>
          <w:b/>
          <w:bCs/>
          <w:lang w:eastAsia="zh-Hans"/>
        </w:rPr>
        <w:t>条</w:t>
      </w:r>
      <w:r>
        <w:rPr>
          <w:b/>
          <w:bCs/>
          <w:lang w:eastAsia="zh-Hans"/>
        </w:rPr>
        <w:t xml:space="preserve"> </w:t>
      </w:r>
      <w:r>
        <w:rPr>
          <w:rFonts w:hint="eastAsia"/>
          <w:b/>
          <w:bCs/>
          <w:lang w:eastAsia="zh-Hans"/>
        </w:rPr>
        <w:t>【</w:t>
      </w:r>
      <w:r>
        <w:rPr>
          <w:rFonts w:hint="eastAsia"/>
          <w:b/>
          <w:bCs/>
        </w:rPr>
        <w:t>商业秘密合同纠纷的种类】</w:t>
      </w:r>
    </w:p>
    <w:p>
      <w:pPr>
        <w:pStyle w:val="50"/>
        <w:spacing w:line="312" w:lineRule="auto"/>
        <w:ind w:firstLine="426"/>
      </w:pPr>
      <w:r>
        <w:rPr>
          <w:rFonts w:hint="eastAsia"/>
        </w:rPr>
        <w:t>根据最高人民法院《民事案件案由规定》，商业秘密合同纠纷案件分为</w:t>
      </w:r>
      <w:r>
        <w:t>技术秘密让与合同纠纷；技术秘密许可使用合同纠纷</w:t>
      </w:r>
      <w:r>
        <w:rPr>
          <w:rFonts w:hint="eastAsia"/>
        </w:rPr>
        <w:t>；</w:t>
      </w:r>
      <w:r>
        <w:t>经营秘密让与合同纠纷</w:t>
      </w:r>
      <w:r>
        <w:rPr>
          <w:rFonts w:hint="eastAsia"/>
        </w:rPr>
        <w:t>；</w:t>
      </w:r>
      <w:r>
        <w:t>经营秘密许可使用合同纠纷</w:t>
      </w:r>
      <w:r>
        <w:rPr>
          <w:rFonts w:hint="eastAsia"/>
        </w:rPr>
        <w:t>。</w:t>
      </w:r>
    </w:p>
    <w:p>
      <w:pPr>
        <w:pStyle w:val="50"/>
        <w:spacing w:line="312" w:lineRule="auto"/>
        <w:ind w:firstLine="426"/>
        <w:rPr>
          <w:b/>
          <w:bCs/>
        </w:rPr>
      </w:pPr>
      <w:r>
        <w:rPr>
          <w:rFonts w:hint="eastAsia"/>
          <w:b/>
          <w:bCs/>
          <w:lang w:eastAsia="zh-Hans"/>
        </w:rPr>
        <w:t>第</w:t>
      </w:r>
      <w:r>
        <w:rPr>
          <w:b/>
          <w:bCs/>
          <w:lang w:eastAsia="zh-Hans"/>
        </w:rPr>
        <w:t>29</w:t>
      </w:r>
      <w:r>
        <w:rPr>
          <w:rFonts w:hint="eastAsia"/>
          <w:b/>
          <w:bCs/>
          <w:lang w:eastAsia="zh-Hans"/>
        </w:rPr>
        <w:t>条</w:t>
      </w:r>
      <w:r>
        <w:rPr>
          <w:b/>
          <w:bCs/>
          <w:lang w:eastAsia="zh-Hans"/>
        </w:rPr>
        <w:t xml:space="preserve"> </w:t>
      </w:r>
      <w:r>
        <w:rPr>
          <w:rFonts w:hint="eastAsia"/>
          <w:b/>
          <w:bCs/>
          <w:lang w:eastAsia="zh-Hans"/>
        </w:rPr>
        <w:t>【</w:t>
      </w:r>
      <w:r>
        <w:rPr>
          <w:rFonts w:hint="eastAsia"/>
          <w:b/>
          <w:bCs/>
        </w:rPr>
        <w:t>技术秘密转让合同和技术秘密许可使用合同纠纷】</w:t>
      </w:r>
    </w:p>
    <w:p>
      <w:pPr>
        <w:pStyle w:val="50"/>
        <w:spacing w:line="312" w:lineRule="auto"/>
        <w:ind w:firstLine="426"/>
      </w:pPr>
      <w:r>
        <w:t>29</w:t>
      </w:r>
      <w:r>
        <w:rPr>
          <w:rFonts w:hint="eastAsia"/>
          <w:lang w:eastAsia="zh-Hans"/>
        </w:rPr>
        <w:t>.</w:t>
      </w:r>
      <w:r>
        <w:rPr>
          <w:lang w:eastAsia="zh-Hans"/>
        </w:rPr>
        <w:t xml:space="preserve">1 </w:t>
      </w:r>
      <w:r>
        <w:rPr>
          <w:rFonts w:hint="eastAsia"/>
        </w:rPr>
        <w:t>请求权基础</w:t>
      </w:r>
    </w:p>
    <w:p>
      <w:pPr>
        <w:pStyle w:val="50"/>
        <w:spacing w:line="312" w:lineRule="auto"/>
        <w:ind w:firstLine="426"/>
      </w:pPr>
      <w:r>
        <w:rPr>
          <w:rFonts w:hint="eastAsia"/>
        </w:rPr>
        <w:t>技术秘密转让合同和技术秘密许可使用合同纠纷的请求权基础集中在《民法典》第八百六十二条至八百七十七条规范中。</w:t>
      </w:r>
    </w:p>
    <w:p>
      <w:pPr>
        <w:pStyle w:val="50"/>
        <w:spacing w:line="312" w:lineRule="auto"/>
        <w:ind w:firstLine="426"/>
      </w:pPr>
      <w:r>
        <w:t>29</w:t>
      </w:r>
      <w:r>
        <w:rPr>
          <w:rFonts w:hint="eastAsia"/>
          <w:lang w:eastAsia="zh-Hans"/>
        </w:rPr>
        <w:t>.</w:t>
      </w:r>
      <w:r>
        <w:rPr>
          <w:lang w:eastAsia="zh-Hans"/>
        </w:rPr>
        <w:t xml:space="preserve">2 </w:t>
      </w:r>
      <w:r>
        <w:rPr>
          <w:rFonts w:hint="eastAsia"/>
        </w:rPr>
        <w:t>审查和举证要点</w:t>
      </w:r>
    </w:p>
    <w:p>
      <w:pPr>
        <w:pStyle w:val="50"/>
        <w:spacing w:line="312" w:lineRule="auto"/>
        <w:ind w:firstLine="426"/>
      </w:pPr>
      <w:r>
        <w:t xml:space="preserve">（1） </w:t>
      </w:r>
      <w:r>
        <w:rPr>
          <w:rFonts w:hint="eastAsia"/>
        </w:rPr>
        <w:t>当事人之间订立的合同的性质是否系技术秘密转让合同或技术秘密许可使用合同，以及该合同是否有效；</w:t>
      </w:r>
    </w:p>
    <w:p>
      <w:pPr>
        <w:pStyle w:val="50"/>
        <w:spacing w:line="312" w:lineRule="auto"/>
        <w:ind w:firstLine="426"/>
      </w:pPr>
      <w:r>
        <w:t xml:space="preserve">（2） </w:t>
      </w:r>
      <w:r>
        <w:rPr>
          <w:rFonts w:hint="eastAsia"/>
        </w:rPr>
        <w:t>合同中是否存在非法垄断技术、限制技术竞争和技术发展的合同无效情形；</w:t>
      </w:r>
    </w:p>
    <w:p>
      <w:pPr>
        <w:pStyle w:val="50"/>
        <w:spacing w:line="312" w:lineRule="auto"/>
        <w:ind w:firstLine="426"/>
      </w:pPr>
      <w:r>
        <w:t xml:space="preserve">（3） </w:t>
      </w:r>
      <w:r>
        <w:rPr>
          <w:rFonts w:hint="eastAsia"/>
        </w:rPr>
        <w:t>技术秘密转让合同或技术秘密许可合同项下的</w:t>
      </w:r>
      <w:r>
        <w:t>技术秘密的内容、载体及内容是否符合法定条件；</w:t>
      </w:r>
    </w:p>
    <w:p>
      <w:pPr>
        <w:pStyle w:val="50"/>
        <w:spacing w:line="312" w:lineRule="auto"/>
        <w:ind w:firstLine="426"/>
      </w:pPr>
      <w:r>
        <w:t xml:space="preserve">（4） </w:t>
      </w:r>
      <w:r>
        <w:rPr>
          <w:rFonts w:hint="eastAsia"/>
        </w:rPr>
        <w:t>技术秘密许可合同约定的具体的实施许可方式；</w:t>
      </w:r>
    </w:p>
    <w:p>
      <w:pPr>
        <w:pStyle w:val="50"/>
        <w:spacing w:line="312" w:lineRule="auto"/>
        <w:ind w:firstLine="426"/>
      </w:pPr>
      <w:r>
        <w:t xml:space="preserve">（5） </w:t>
      </w:r>
      <w:r>
        <w:rPr>
          <w:rFonts w:hint="eastAsia"/>
        </w:rPr>
        <w:t>技术秘密转让合同的让与人和技术许可合同的许可人是否系提供的技术秘密的合法拥有者，所提供的技术是否完整、无误、有效，能够达到约定的目的；</w:t>
      </w:r>
    </w:p>
    <w:p>
      <w:pPr>
        <w:pStyle w:val="50"/>
        <w:spacing w:line="312" w:lineRule="auto"/>
        <w:ind w:firstLine="426"/>
      </w:pPr>
      <w:r>
        <w:t xml:space="preserve">（6） </w:t>
      </w:r>
      <w:r>
        <w:rPr>
          <w:rFonts w:hint="eastAsia"/>
        </w:rPr>
        <w:t>在合同中对使用技术秘密后续改进的技术成果的分享办法有没有约定。</w:t>
      </w:r>
    </w:p>
    <w:p>
      <w:pPr>
        <w:pStyle w:val="50"/>
        <w:spacing w:line="312" w:lineRule="auto"/>
        <w:ind w:firstLine="426"/>
        <w:rPr>
          <w:b/>
          <w:bCs/>
        </w:rPr>
      </w:pPr>
      <w:r>
        <w:rPr>
          <w:rFonts w:hint="eastAsia"/>
          <w:b/>
          <w:bCs/>
          <w:lang w:eastAsia="zh-Hans"/>
        </w:rPr>
        <w:t>第</w:t>
      </w:r>
      <w:r>
        <w:rPr>
          <w:b/>
          <w:bCs/>
          <w:lang w:eastAsia="zh-Hans"/>
        </w:rPr>
        <w:t>30</w:t>
      </w:r>
      <w:r>
        <w:rPr>
          <w:rFonts w:hint="eastAsia"/>
          <w:b/>
          <w:bCs/>
          <w:lang w:eastAsia="zh-Hans"/>
        </w:rPr>
        <w:t>条</w:t>
      </w:r>
      <w:r>
        <w:rPr>
          <w:b/>
          <w:bCs/>
          <w:lang w:eastAsia="zh-Hans"/>
        </w:rPr>
        <w:t xml:space="preserve"> </w:t>
      </w:r>
      <w:r>
        <w:rPr>
          <w:rFonts w:hint="eastAsia"/>
          <w:b/>
          <w:bCs/>
          <w:lang w:eastAsia="zh-Hans"/>
        </w:rPr>
        <w:t>【</w:t>
      </w:r>
      <w:r>
        <w:rPr>
          <w:rFonts w:hint="eastAsia"/>
          <w:b/>
          <w:bCs/>
        </w:rPr>
        <w:t>经营秘密转让合同和经营秘密许可合同纠纷】</w:t>
      </w:r>
    </w:p>
    <w:p>
      <w:pPr>
        <w:pStyle w:val="50"/>
        <w:spacing w:line="312" w:lineRule="auto"/>
        <w:ind w:firstLine="426"/>
      </w:pPr>
      <w:r>
        <w:t>30</w:t>
      </w:r>
      <w:r>
        <w:rPr>
          <w:rFonts w:hint="eastAsia"/>
          <w:lang w:eastAsia="zh-Hans"/>
        </w:rPr>
        <w:t>.</w:t>
      </w:r>
      <w:r>
        <w:rPr>
          <w:lang w:eastAsia="zh-Hans"/>
        </w:rPr>
        <w:t xml:space="preserve">1 </w:t>
      </w:r>
      <w:r>
        <w:rPr>
          <w:rFonts w:hint="eastAsia"/>
        </w:rPr>
        <w:t>请求权基础</w:t>
      </w:r>
    </w:p>
    <w:p>
      <w:pPr>
        <w:pStyle w:val="50"/>
        <w:spacing w:line="312" w:lineRule="auto"/>
        <w:ind w:firstLine="426"/>
      </w:pPr>
      <w:r>
        <w:rPr>
          <w:rFonts w:hint="eastAsia"/>
        </w:rPr>
        <w:t>由于经营秘密转让合同和经营秘密许可合同在《民法典》或其他民事单行法中没有明文规定，故属于无名合同。《民法典》</w:t>
      </w:r>
      <w:r>
        <w:t>第</w:t>
      </w:r>
      <w:r>
        <w:rPr>
          <w:rFonts w:hint="eastAsia"/>
        </w:rPr>
        <w:t>四百六十七</w:t>
      </w:r>
      <w:r>
        <w:t>条</w:t>
      </w:r>
      <w:r>
        <w:rPr>
          <w:rFonts w:hint="eastAsia"/>
        </w:rPr>
        <w:t>规定“</w:t>
      </w:r>
      <w:r>
        <w:t>本法或者其他法律没有明文规定的合同，适用本编通则的规定，并可以参照适用本编或者其他法律最相类似合同的规定。</w:t>
      </w:r>
      <w:r>
        <w:rPr>
          <w:rFonts w:hint="eastAsia"/>
        </w:rPr>
        <w:t>”《民法典》</w:t>
      </w:r>
      <w:r>
        <w:t>第</w:t>
      </w:r>
      <w:bookmarkStart w:id="24" w:name="OLE_LINK1"/>
      <w:r>
        <w:rPr>
          <w:rFonts w:hint="eastAsia"/>
        </w:rPr>
        <w:t>六百四十六</w:t>
      </w:r>
      <w:bookmarkEnd w:id="24"/>
      <w:r>
        <w:t>条</w:t>
      </w:r>
      <w:r>
        <w:rPr>
          <w:rFonts w:hint="eastAsia"/>
        </w:rPr>
        <w:t>规定：“</w:t>
      </w:r>
      <w:r>
        <w:t>法律对其他有偿合同有规定的，依照其规定;没有规定的，参照适用买卖合同的有关规定。</w:t>
      </w:r>
      <w:r>
        <w:rPr>
          <w:rFonts w:hint="eastAsia"/>
        </w:rPr>
        <w:t>”因此，经营秘密转让合同和经营秘密许可合同的请求权基础首先为《民法典》合同编通则的规定，如果要参照适用合同编或者其他法律最相类似的合同的规定的，则要先引用《民法典》第四百六十七条的规定，再引用其他规定；如果要参照适用买卖合同的规定的，则要先引用《民法典》第六百四十六条之规定，再引用买卖合同章中的具体条文。</w:t>
      </w:r>
    </w:p>
    <w:p>
      <w:pPr>
        <w:pStyle w:val="50"/>
        <w:spacing w:line="312" w:lineRule="auto"/>
        <w:ind w:firstLine="426"/>
      </w:pPr>
      <w:r>
        <w:t>30</w:t>
      </w:r>
      <w:r>
        <w:rPr>
          <w:rFonts w:hint="eastAsia"/>
          <w:lang w:eastAsia="zh-Hans"/>
        </w:rPr>
        <w:t>.</w:t>
      </w:r>
      <w:r>
        <w:rPr>
          <w:lang w:eastAsia="zh-Hans"/>
        </w:rPr>
        <w:t xml:space="preserve">2 </w:t>
      </w:r>
      <w:r>
        <w:rPr>
          <w:rFonts w:hint="eastAsia"/>
        </w:rPr>
        <w:t>审查和举证要点</w:t>
      </w:r>
    </w:p>
    <w:p>
      <w:pPr>
        <w:pStyle w:val="50"/>
        <w:spacing w:line="312" w:lineRule="auto"/>
        <w:ind w:firstLine="426"/>
      </w:pPr>
      <w:r>
        <w:t xml:space="preserve">（1） </w:t>
      </w:r>
      <w:r>
        <w:rPr>
          <w:rFonts w:hint="eastAsia"/>
        </w:rPr>
        <w:t>当事人之间订立的合同的性质是否系经营秘密转让合同或经营秘密许可使用合同，以及该合同是否有效；</w:t>
      </w:r>
    </w:p>
    <w:p>
      <w:pPr>
        <w:pStyle w:val="50"/>
        <w:spacing w:line="312" w:lineRule="auto"/>
        <w:ind w:firstLine="426"/>
      </w:pPr>
      <w:r>
        <w:t xml:space="preserve">（2） </w:t>
      </w:r>
      <w:r>
        <w:rPr>
          <w:rFonts w:hint="eastAsia"/>
        </w:rPr>
        <w:t>经营秘密转让合同或经营秘密许可合同项下的经营</w:t>
      </w:r>
      <w:r>
        <w:t>秘密的内容、载体及内容是否符合法定条件；</w:t>
      </w:r>
    </w:p>
    <w:p>
      <w:pPr>
        <w:pStyle w:val="50"/>
        <w:spacing w:line="312" w:lineRule="auto"/>
        <w:ind w:firstLine="426"/>
      </w:pPr>
      <w:r>
        <w:t xml:space="preserve">（3） </w:t>
      </w:r>
      <w:r>
        <w:rPr>
          <w:rFonts w:hint="eastAsia"/>
        </w:rPr>
        <w:t>经营秘密许可合同约定的具体的实施许可方式；</w:t>
      </w:r>
    </w:p>
    <w:p>
      <w:pPr>
        <w:pStyle w:val="50"/>
        <w:spacing w:line="312" w:lineRule="auto"/>
        <w:ind w:firstLine="426"/>
      </w:pPr>
      <w:r>
        <w:t xml:space="preserve">（4） </w:t>
      </w:r>
      <w:r>
        <w:rPr>
          <w:rFonts w:hint="eastAsia"/>
        </w:rPr>
        <w:t>经营秘密转让合同的让与人和经营秘密许可合同的许可人是否系提供的经营秘密的合法拥有者，所提供的经营秘密是否完整、无误、有效，能够达到约定的目的。</w:t>
      </w:r>
    </w:p>
    <w:p>
      <w:pPr>
        <w:pStyle w:val="3"/>
        <w:spacing w:after="0" w:line="312" w:lineRule="auto"/>
        <w:jc w:val="center"/>
        <w:rPr>
          <w:sz w:val="24"/>
          <w:szCs w:val="24"/>
        </w:rPr>
      </w:pPr>
      <w:bookmarkStart w:id="25" w:name="_Toc122294622"/>
      <w:r>
        <w:rPr>
          <w:rFonts w:hint="eastAsia"/>
          <w:sz w:val="24"/>
          <w:szCs w:val="24"/>
        </w:rPr>
        <w:t>第四节  涉商业秘密劳动合同纠纷</w:t>
      </w:r>
      <w:bookmarkEnd w:id="25"/>
    </w:p>
    <w:p>
      <w:pPr>
        <w:pStyle w:val="50"/>
        <w:spacing w:line="312" w:lineRule="auto"/>
        <w:ind w:firstLine="426"/>
        <w:rPr>
          <w:b/>
          <w:bCs/>
        </w:rPr>
      </w:pPr>
      <w:r>
        <w:rPr>
          <w:rFonts w:hint="eastAsia"/>
          <w:b/>
          <w:bCs/>
          <w:lang w:eastAsia="zh-Hans"/>
        </w:rPr>
        <w:t>第</w:t>
      </w:r>
      <w:r>
        <w:rPr>
          <w:b/>
          <w:bCs/>
          <w:lang w:eastAsia="zh-Hans"/>
        </w:rPr>
        <w:t>31</w:t>
      </w:r>
      <w:r>
        <w:rPr>
          <w:rFonts w:hint="eastAsia"/>
          <w:b/>
          <w:bCs/>
          <w:lang w:eastAsia="zh-Hans"/>
        </w:rPr>
        <w:t>条</w:t>
      </w:r>
      <w:r>
        <w:rPr>
          <w:b/>
          <w:bCs/>
          <w:lang w:eastAsia="zh-Hans"/>
        </w:rPr>
        <w:t xml:space="preserve"> </w:t>
      </w:r>
      <w:r>
        <w:rPr>
          <w:rFonts w:hint="eastAsia"/>
          <w:b/>
          <w:bCs/>
          <w:lang w:eastAsia="zh-Hans"/>
        </w:rPr>
        <w:t>【</w:t>
      </w:r>
      <w:r>
        <w:rPr>
          <w:rFonts w:hint="eastAsia"/>
          <w:b/>
          <w:bCs/>
        </w:rPr>
        <w:t>涉商业秘密劳动合同纠纷的种类】</w:t>
      </w:r>
    </w:p>
    <w:p>
      <w:pPr>
        <w:pStyle w:val="50"/>
        <w:spacing w:line="312" w:lineRule="auto"/>
        <w:ind w:firstLine="426"/>
      </w:pPr>
      <w:r>
        <w:rPr>
          <w:rFonts w:hint="eastAsia"/>
        </w:rPr>
        <w:t>根据劳动合同法的规定，涉商业秘密的劳动合同纠纷主要可以分为保密协议纠纷和竞业限制协议纠纷。</w:t>
      </w:r>
    </w:p>
    <w:p>
      <w:pPr>
        <w:pStyle w:val="50"/>
        <w:spacing w:line="312" w:lineRule="auto"/>
        <w:ind w:firstLine="426"/>
        <w:rPr>
          <w:b/>
          <w:bCs/>
        </w:rPr>
      </w:pPr>
      <w:r>
        <w:rPr>
          <w:rFonts w:hint="eastAsia"/>
          <w:b/>
          <w:bCs/>
          <w:lang w:eastAsia="zh-Hans"/>
        </w:rPr>
        <w:t>第</w:t>
      </w:r>
      <w:r>
        <w:rPr>
          <w:b/>
          <w:bCs/>
          <w:lang w:eastAsia="zh-Hans"/>
        </w:rPr>
        <w:t>32</w:t>
      </w:r>
      <w:r>
        <w:rPr>
          <w:rFonts w:hint="eastAsia"/>
          <w:b/>
          <w:bCs/>
          <w:lang w:eastAsia="zh-Hans"/>
        </w:rPr>
        <w:t>条</w:t>
      </w:r>
      <w:r>
        <w:rPr>
          <w:b/>
          <w:bCs/>
          <w:lang w:eastAsia="zh-Hans"/>
        </w:rPr>
        <w:t xml:space="preserve"> </w:t>
      </w:r>
      <w:r>
        <w:rPr>
          <w:rFonts w:hint="eastAsia"/>
          <w:b/>
          <w:bCs/>
          <w:lang w:eastAsia="zh-Hans"/>
        </w:rPr>
        <w:t>【</w:t>
      </w:r>
      <w:r>
        <w:rPr>
          <w:rFonts w:hint="eastAsia"/>
          <w:b/>
          <w:bCs/>
        </w:rPr>
        <w:t>竞业限制协议与保密协议的区别】</w:t>
      </w:r>
    </w:p>
    <w:p>
      <w:pPr>
        <w:pStyle w:val="50"/>
        <w:spacing w:line="312" w:lineRule="auto"/>
        <w:ind w:firstLine="426"/>
      </w:pPr>
      <w:r>
        <w:t>我国立法允许约定竞业限制，目的在于保护用人单位的商业秘密和其他可受保护的利益。但是，竞业限制协议与保密协议在性质上是不同的。前者是限制特定的人从事竞争业务，后者则是要求保守商业秘密。用人单位依法可以与负有保密义务的劳动者约定竞业限制，竞业限制约定因此成为保护商业秘密的一种手段，即通过限制负有保密义务的劳动者从事竞争业务而在一定程度上防止劳动者泄露、使用其商业秘密。但是，相关信息作为商业秘密受到保护，必须具备反不正当竞争法规定的要件，包括采取了保密措施，而并不是单纯约定竞业限制就可以实现的。对于单纯的竞业限制约定，即便其主要目的就是为了保护商业秘密，但由于该约定没有明确用人单位保密的主观愿望和作为商业秘密保护的信息的范围，因而不能构成反不正当竞争法规定的保密措施。</w:t>
      </w:r>
      <w:r>
        <w:rPr>
          <w:rFonts w:hint="eastAsia"/>
        </w:rPr>
        <w:t>而保密协议是《</w:t>
      </w:r>
      <w:r>
        <w:rPr>
          <w:bCs/>
        </w:rPr>
        <w:t>最高人民法院关于审理侵犯商业秘密民事案件适用法律若干问题的规定</w:t>
      </w:r>
      <w:r>
        <w:rPr>
          <w:rFonts w:hint="eastAsia"/>
          <w:bCs/>
        </w:rPr>
        <w:t>》</w:t>
      </w:r>
      <w:r>
        <w:rPr>
          <w:rFonts w:hint="eastAsia"/>
        </w:rPr>
        <w:t>所列举的保密措施之一。</w:t>
      </w:r>
    </w:p>
    <w:p>
      <w:pPr>
        <w:pStyle w:val="50"/>
        <w:spacing w:line="312" w:lineRule="auto"/>
        <w:ind w:firstLine="426"/>
        <w:rPr>
          <w:b/>
          <w:bCs/>
        </w:rPr>
      </w:pPr>
      <w:r>
        <w:rPr>
          <w:rFonts w:hint="eastAsia"/>
          <w:b/>
          <w:bCs/>
          <w:lang w:eastAsia="zh-Hans"/>
        </w:rPr>
        <w:t>第</w:t>
      </w:r>
      <w:r>
        <w:rPr>
          <w:b/>
          <w:bCs/>
          <w:lang w:eastAsia="zh-Hans"/>
        </w:rPr>
        <w:t>33</w:t>
      </w:r>
      <w:r>
        <w:rPr>
          <w:rFonts w:hint="eastAsia"/>
          <w:b/>
          <w:bCs/>
          <w:lang w:eastAsia="zh-Hans"/>
        </w:rPr>
        <w:t>条</w:t>
      </w:r>
      <w:r>
        <w:rPr>
          <w:b/>
          <w:bCs/>
          <w:lang w:eastAsia="zh-Hans"/>
        </w:rPr>
        <w:t xml:space="preserve"> </w:t>
      </w:r>
      <w:r>
        <w:rPr>
          <w:rFonts w:hint="eastAsia"/>
          <w:b/>
          <w:bCs/>
          <w:lang w:eastAsia="zh-Hans"/>
        </w:rPr>
        <w:t>【</w:t>
      </w:r>
      <w:r>
        <w:rPr>
          <w:rFonts w:hint="eastAsia"/>
          <w:b/>
          <w:bCs/>
        </w:rPr>
        <w:t>保密协议纠纷审查和举证要点】</w:t>
      </w:r>
    </w:p>
    <w:p>
      <w:pPr>
        <w:pStyle w:val="50"/>
        <w:spacing w:line="312" w:lineRule="auto"/>
        <w:ind w:firstLine="426"/>
      </w:pPr>
      <w:r>
        <w:rPr>
          <w:rFonts w:hint="eastAsia"/>
        </w:rPr>
        <w:t>（1）</w:t>
      </w:r>
      <w:r>
        <w:t xml:space="preserve"> </w:t>
      </w:r>
      <w:r>
        <w:rPr>
          <w:rFonts w:hint="eastAsia"/>
        </w:rPr>
        <w:t>保密协议对商业秘密的类型、载体是否作了明确约定；</w:t>
      </w:r>
    </w:p>
    <w:p>
      <w:pPr>
        <w:pStyle w:val="50"/>
        <w:spacing w:line="312" w:lineRule="auto"/>
        <w:ind w:firstLine="426"/>
      </w:pPr>
      <w:r>
        <w:rPr>
          <w:rFonts w:hint="eastAsia"/>
        </w:rPr>
        <w:t>（2）</w:t>
      </w:r>
      <w:r>
        <w:t xml:space="preserve"> </w:t>
      </w:r>
      <w:r>
        <w:rPr>
          <w:rFonts w:hint="eastAsia"/>
        </w:rPr>
        <w:t>保密协议是否对保密期限作了约定，如果未作约定，则保密期限至该商业秘密公开时止；</w:t>
      </w:r>
    </w:p>
    <w:p>
      <w:pPr>
        <w:pStyle w:val="50"/>
        <w:spacing w:line="312" w:lineRule="auto"/>
        <w:ind w:firstLine="426"/>
      </w:pPr>
      <w:r>
        <w:rPr>
          <w:rFonts w:hint="eastAsia"/>
        </w:rPr>
        <w:t>（3）</w:t>
      </w:r>
      <w:r>
        <w:t xml:space="preserve"> </w:t>
      </w:r>
      <w:r>
        <w:rPr>
          <w:rFonts w:hint="eastAsia"/>
        </w:rPr>
        <w:t>保密费并非保密协议的当然条款。商业秘密作为一种绝对权益，掌握商业秘密的劳动者应该对其知悉的商业秘密负有法定的保密义务；</w:t>
      </w:r>
    </w:p>
    <w:p>
      <w:pPr>
        <w:pStyle w:val="50"/>
        <w:spacing w:line="312" w:lineRule="auto"/>
        <w:ind w:firstLine="426"/>
      </w:pPr>
      <w:r>
        <w:rPr>
          <w:rFonts w:hint="eastAsia"/>
        </w:rPr>
        <w:t>（4）</w:t>
      </w:r>
      <w:r>
        <w:t xml:space="preserve"> </w:t>
      </w:r>
      <w:r>
        <w:rPr>
          <w:rFonts w:hint="eastAsia"/>
        </w:rPr>
        <w:t>保密协议对违约责任的约定内容；</w:t>
      </w:r>
    </w:p>
    <w:p>
      <w:pPr>
        <w:pStyle w:val="50"/>
        <w:spacing w:line="312" w:lineRule="auto"/>
        <w:ind w:firstLine="426"/>
      </w:pPr>
      <w:r>
        <w:rPr>
          <w:rFonts w:hint="eastAsia"/>
        </w:rPr>
        <w:t>（5）</w:t>
      </w:r>
      <w:r>
        <w:t xml:space="preserve"> </w:t>
      </w:r>
      <w:r>
        <w:rPr>
          <w:rFonts w:hint="eastAsia"/>
        </w:rPr>
        <w:t>用人单位以对方当事人违反保密协议为由主张违约责任，需要对保密协议约定的商业秘密的载体、内容符合法定条件，对方当事人有接触商业秘密的可能性，实施了违反保密协议的行为进行举证。</w:t>
      </w:r>
    </w:p>
    <w:p>
      <w:pPr>
        <w:pStyle w:val="50"/>
        <w:spacing w:line="312" w:lineRule="auto"/>
        <w:ind w:firstLine="426"/>
        <w:rPr>
          <w:b/>
          <w:bCs/>
        </w:rPr>
      </w:pPr>
      <w:r>
        <w:rPr>
          <w:rFonts w:hint="eastAsia"/>
          <w:b/>
          <w:bCs/>
          <w:lang w:eastAsia="zh-Hans"/>
        </w:rPr>
        <w:t>第</w:t>
      </w:r>
      <w:r>
        <w:rPr>
          <w:b/>
          <w:bCs/>
          <w:lang w:eastAsia="zh-Hans"/>
        </w:rPr>
        <w:t>34</w:t>
      </w:r>
      <w:r>
        <w:rPr>
          <w:rFonts w:hint="eastAsia"/>
          <w:b/>
          <w:bCs/>
          <w:lang w:eastAsia="zh-Hans"/>
        </w:rPr>
        <w:t>条</w:t>
      </w:r>
      <w:r>
        <w:rPr>
          <w:b/>
          <w:bCs/>
          <w:lang w:eastAsia="zh-Hans"/>
        </w:rPr>
        <w:t xml:space="preserve"> </w:t>
      </w:r>
      <w:r>
        <w:rPr>
          <w:rFonts w:hint="eastAsia"/>
          <w:b/>
          <w:bCs/>
          <w:lang w:eastAsia="zh-Hans"/>
        </w:rPr>
        <w:t>【</w:t>
      </w:r>
      <w:r>
        <w:rPr>
          <w:rFonts w:hint="eastAsia"/>
          <w:b/>
          <w:bCs/>
        </w:rPr>
        <w:t>竞业限制协议纠纷的审查要点】</w:t>
      </w:r>
    </w:p>
    <w:p>
      <w:pPr>
        <w:pStyle w:val="50"/>
        <w:spacing w:line="312" w:lineRule="auto"/>
        <w:ind w:firstLine="426"/>
      </w:pPr>
      <w:r>
        <w:rPr>
          <w:rFonts w:hint="eastAsia"/>
        </w:rPr>
        <w:t>（1）</w:t>
      </w:r>
      <w:r>
        <w:t xml:space="preserve"> </w:t>
      </w:r>
      <w:r>
        <w:rPr>
          <w:rFonts w:hint="eastAsia"/>
        </w:rPr>
        <w:t>签订竞业限制协议的劳动者是否属于负有保密义务的</w:t>
      </w:r>
      <w:r>
        <w:t>用人单位的高级管理人员、高级技术人员和其他负有保密义务的人员</w:t>
      </w:r>
      <w:r>
        <w:rPr>
          <w:rFonts w:hint="eastAsia"/>
        </w:rPr>
        <w:t>；</w:t>
      </w:r>
    </w:p>
    <w:p>
      <w:pPr>
        <w:pStyle w:val="50"/>
        <w:spacing w:line="312" w:lineRule="auto"/>
        <w:ind w:firstLine="426"/>
      </w:pPr>
      <w:r>
        <w:rPr>
          <w:rFonts w:hint="eastAsia"/>
        </w:rPr>
        <w:t>（2）</w:t>
      </w:r>
      <w:r>
        <w:t xml:space="preserve"> </w:t>
      </w:r>
      <w:r>
        <w:rPr>
          <w:rFonts w:hint="eastAsia"/>
        </w:rPr>
        <w:t>竞业限制协议约定的是在职期间的竞业限制还是离职以后的竞业限制；</w:t>
      </w:r>
    </w:p>
    <w:p>
      <w:pPr>
        <w:pStyle w:val="50"/>
        <w:spacing w:line="312" w:lineRule="auto"/>
        <w:ind w:firstLine="426"/>
      </w:pPr>
      <w:r>
        <w:rPr>
          <w:rFonts w:hint="eastAsia"/>
        </w:rPr>
        <w:t>（3）</w:t>
      </w:r>
      <w:r>
        <w:t xml:space="preserve"> </w:t>
      </w:r>
      <w:r>
        <w:rPr>
          <w:rFonts w:hint="eastAsia"/>
        </w:rPr>
        <w:t>离职以后的竞业限制时间是否在法定的二年以内；</w:t>
      </w:r>
    </w:p>
    <w:p>
      <w:pPr>
        <w:pStyle w:val="50"/>
        <w:spacing w:line="312" w:lineRule="auto"/>
        <w:ind w:firstLine="426"/>
      </w:pPr>
      <w:r>
        <w:rPr>
          <w:rFonts w:hint="eastAsia"/>
        </w:rPr>
        <w:t>（4）</w:t>
      </w:r>
      <w:r>
        <w:t xml:space="preserve"> </w:t>
      </w:r>
      <w:r>
        <w:rPr>
          <w:rFonts w:hint="eastAsia"/>
        </w:rPr>
        <w:t>竞业限制协议对同类产品、同类业务是否有明确界定；</w:t>
      </w:r>
    </w:p>
    <w:p>
      <w:pPr>
        <w:pStyle w:val="50"/>
        <w:spacing w:line="312" w:lineRule="auto"/>
        <w:ind w:firstLine="426"/>
      </w:pPr>
      <w:r>
        <w:rPr>
          <w:rFonts w:hint="eastAsia"/>
        </w:rPr>
        <w:t>（5）</w:t>
      </w:r>
      <w:r>
        <w:t xml:space="preserve"> </w:t>
      </w:r>
      <w:r>
        <w:rPr>
          <w:rFonts w:hint="eastAsia"/>
        </w:rPr>
        <w:t>竞业限制协议是否约定了竞业限制补偿金，补偿金是否低于</w:t>
      </w:r>
      <w:r>
        <w:t>劳动者在劳动合同解除或者终止前十二个月平均工资的30%</w:t>
      </w:r>
      <w:r>
        <w:rPr>
          <w:rFonts w:hint="eastAsia"/>
        </w:rPr>
        <w:t>或</w:t>
      </w:r>
      <w:r>
        <w:t>劳动合同履行地最低工资标准</w:t>
      </w:r>
      <w:r>
        <w:rPr>
          <w:rFonts w:hint="eastAsia"/>
        </w:rPr>
        <w:t>；</w:t>
      </w:r>
    </w:p>
    <w:p>
      <w:pPr>
        <w:pStyle w:val="50"/>
        <w:spacing w:line="312" w:lineRule="auto"/>
        <w:ind w:firstLine="426"/>
      </w:pPr>
      <w:r>
        <w:rPr>
          <w:rFonts w:hint="eastAsia"/>
        </w:rPr>
        <w:t>（6）</w:t>
      </w:r>
      <w:r>
        <w:t xml:space="preserve"> </w:t>
      </w:r>
      <w:r>
        <w:rPr>
          <w:rFonts w:hint="eastAsia"/>
        </w:rPr>
        <w:t>劳动者在职期间是否掌握用人单位的商业秘密，用人单位对其商业秘密是否采取了保密措施；</w:t>
      </w:r>
    </w:p>
    <w:p>
      <w:pPr>
        <w:pStyle w:val="50"/>
        <w:spacing w:line="312" w:lineRule="auto"/>
        <w:ind w:firstLine="426"/>
      </w:pPr>
      <w:r>
        <w:rPr>
          <w:rFonts w:hint="eastAsia"/>
        </w:rPr>
        <w:t>（7）</w:t>
      </w:r>
      <w:r>
        <w:t xml:space="preserve"> </w:t>
      </w:r>
      <w:r>
        <w:rPr>
          <w:rFonts w:hint="eastAsia"/>
        </w:rPr>
        <w:t>用人单位是否在劳动者离职后支付了竞业限制补偿金。</w:t>
      </w:r>
      <w:r>
        <w:t>劳动合同解除或者终止后，因用人单位的原因导致三个月未支付经济补偿，劳动者请求解除竞业限制约定的，人民法院应予支持</w:t>
      </w:r>
      <w:r>
        <w:rPr>
          <w:rFonts w:hint="eastAsia"/>
        </w:rPr>
        <w:t>；</w:t>
      </w:r>
    </w:p>
    <w:p>
      <w:pPr>
        <w:pStyle w:val="50"/>
        <w:spacing w:line="312" w:lineRule="auto"/>
        <w:ind w:firstLine="426"/>
      </w:pPr>
      <w:r>
        <w:rPr>
          <w:rFonts w:hint="eastAsia"/>
        </w:rPr>
        <w:t>（8）</w:t>
      </w:r>
      <w:r>
        <w:t xml:space="preserve"> </w:t>
      </w:r>
      <w:r>
        <w:rPr>
          <w:rFonts w:hint="eastAsia"/>
        </w:rPr>
        <w:t>竞业限制协议是否约定了劳动者违反协议时的违约金，违约金是否过高。</w:t>
      </w:r>
    </w:p>
    <w:p>
      <w:pPr>
        <w:pStyle w:val="50"/>
        <w:spacing w:line="312" w:lineRule="auto"/>
        <w:ind w:firstLine="426"/>
      </w:pPr>
      <w:r>
        <w:rPr>
          <w:rFonts w:hint="eastAsia"/>
        </w:rPr>
        <w:t>【法律规定】《劳动合同法》第二十四条，</w:t>
      </w:r>
      <w:r>
        <w:t>《最高人民法院关于审理劳动争议案件适用法律问题的解释（一）》</w:t>
      </w:r>
      <w:r>
        <w:rPr>
          <w:rFonts w:hint="eastAsia"/>
        </w:rPr>
        <w:t>第三十六条至第四十条。</w:t>
      </w:r>
    </w:p>
    <w:p>
      <w:pPr>
        <w:pStyle w:val="3"/>
        <w:spacing w:after="0" w:line="312" w:lineRule="auto"/>
        <w:jc w:val="center"/>
        <w:rPr>
          <w:sz w:val="24"/>
          <w:szCs w:val="24"/>
        </w:rPr>
      </w:pPr>
      <w:bookmarkStart w:id="26" w:name="_Toc122294623"/>
      <w:r>
        <w:rPr>
          <w:rFonts w:hint="eastAsia"/>
          <w:sz w:val="24"/>
          <w:szCs w:val="24"/>
        </w:rPr>
        <w:t>第五节  商业秘密民事、行政、刑事交叉案件</w:t>
      </w:r>
      <w:bookmarkEnd w:id="26"/>
    </w:p>
    <w:p>
      <w:pPr>
        <w:pStyle w:val="50"/>
        <w:spacing w:line="312" w:lineRule="auto"/>
        <w:ind w:firstLine="426"/>
        <w:rPr>
          <w:b/>
          <w:bCs/>
        </w:rPr>
      </w:pPr>
      <w:r>
        <w:rPr>
          <w:rFonts w:hint="eastAsia"/>
          <w:b/>
          <w:bCs/>
          <w:lang w:eastAsia="zh-Hans"/>
        </w:rPr>
        <w:t>第</w:t>
      </w:r>
      <w:r>
        <w:rPr>
          <w:b/>
          <w:bCs/>
          <w:lang w:eastAsia="zh-Hans"/>
        </w:rPr>
        <w:t>35</w:t>
      </w:r>
      <w:r>
        <w:rPr>
          <w:rFonts w:hint="eastAsia"/>
          <w:b/>
          <w:bCs/>
          <w:lang w:eastAsia="zh-Hans"/>
        </w:rPr>
        <w:t>条</w:t>
      </w:r>
      <w:r>
        <w:rPr>
          <w:b/>
          <w:bCs/>
          <w:lang w:eastAsia="zh-Hans"/>
        </w:rPr>
        <w:t xml:space="preserve"> </w:t>
      </w:r>
      <w:r>
        <w:rPr>
          <w:rFonts w:hint="eastAsia"/>
          <w:b/>
          <w:bCs/>
          <w:lang w:eastAsia="zh-Hans"/>
        </w:rPr>
        <w:t>【</w:t>
      </w:r>
      <w:r>
        <w:rPr>
          <w:rFonts w:hint="eastAsia"/>
          <w:b/>
          <w:bCs/>
        </w:rPr>
        <w:t>侵犯商业秘密行为的竞合规范】</w:t>
      </w:r>
    </w:p>
    <w:p>
      <w:pPr>
        <w:pStyle w:val="50"/>
        <w:spacing w:line="312" w:lineRule="auto"/>
        <w:ind w:firstLine="426"/>
      </w:pPr>
      <w:r>
        <w:t>35</w:t>
      </w:r>
      <w:r>
        <w:rPr>
          <w:rFonts w:hint="eastAsia"/>
          <w:lang w:eastAsia="zh-Hans"/>
        </w:rPr>
        <w:t>.</w:t>
      </w:r>
      <w:r>
        <w:rPr>
          <w:lang w:eastAsia="zh-Hans"/>
        </w:rPr>
        <w:t xml:space="preserve">1 </w:t>
      </w:r>
      <w:r>
        <w:rPr>
          <w:rFonts w:hint="eastAsia"/>
        </w:rPr>
        <w:t>《反不正当竞争法》第十七条规定：“</w:t>
      </w:r>
      <w:r>
        <w:t>经营者违反本法规定，给他人造成损害的，应当依法承担民事责任。经营者的合法权益受到不正当竞争行为损害的，可以向人民法院提起诉讼。</w:t>
      </w:r>
      <w:r>
        <w:rPr>
          <w:rFonts w:hint="eastAsia"/>
        </w:rPr>
        <w:t>”第二十一条规定：“</w:t>
      </w:r>
      <w:r>
        <w:t>经营者以及其他自然人、法人和非法人组织违反本法第九条规定侵犯商业秘密的，由监督检查部门责令停止违法行为，没收违法所得，处十万元以上一百万元以下的罚款；情节严重的，处五十万元以上五百万元以下的罚款。</w:t>
      </w:r>
      <w:r>
        <w:rPr>
          <w:rFonts w:hint="eastAsia"/>
        </w:rPr>
        <w:t>”第三十一条规定：“违反本法规定，构成犯罪的，依法追究刑事责任。”第二十七条规定：“</w:t>
      </w:r>
      <w:r>
        <w:t>经营者违反本法规定，应当承担民事责任、行政责任和刑事责任，其财产不足以支付的，优先用于承担民事责任。</w:t>
      </w:r>
      <w:r>
        <w:rPr>
          <w:rFonts w:hint="eastAsia"/>
        </w:rPr>
        <w:t xml:space="preserve">” </w:t>
      </w:r>
    </w:p>
    <w:p>
      <w:pPr>
        <w:pStyle w:val="50"/>
        <w:spacing w:line="312" w:lineRule="auto"/>
        <w:ind w:firstLine="426"/>
      </w:pPr>
      <w:r>
        <w:t>35</w:t>
      </w:r>
      <w:r>
        <w:rPr>
          <w:rFonts w:hint="eastAsia"/>
          <w:lang w:eastAsia="zh-Hans"/>
        </w:rPr>
        <w:t>.</w:t>
      </w:r>
      <w:r>
        <w:rPr>
          <w:lang w:eastAsia="zh-Hans"/>
        </w:rPr>
        <w:t xml:space="preserve">2 </w:t>
      </w:r>
      <w:r>
        <w:rPr>
          <w:rFonts w:hint="eastAsia"/>
        </w:rPr>
        <w:t>《民法典》第一百八十七条规定：“</w:t>
      </w:r>
      <w:r>
        <w:t>民事主体因同一行为应当承担民事责任、行政责任和刑事责任的，承担行政责任或者刑事责任不影响承担民事责任；民事主体的财产不足以支付的，优先用于承担民事责任。</w:t>
      </w:r>
      <w:r>
        <w:rPr>
          <w:rFonts w:hint="eastAsia"/>
        </w:rPr>
        <w:t>”</w:t>
      </w:r>
    </w:p>
    <w:p>
      <w:pPr>
        <w:pStyle w:val="50"/>
        <w:spacing w:line="312" w:lineRule="auto"/>
        <w:ind w:firstLine="426"/>
      </w:pPr>
      <w:r>
        <w:t>35</w:t>
      </w:r>
      <w:r>
        <w:rPr>
          <w:rFonts w:hint="eastAsia"/>
          <w:lang w:eastAsia="zh-Hans"/>
        </w:rPr>
        <w:t>.</w:t>
      </w:r>
      <w:r>
        <w:rPr>
          <w:lang w:eastAsia="zh-Hans"/>
        </w:rPr>
        <w:t xml:space="preserve">3 </w:t>
      </w:r>
      <w:r>
        <w:rPr>
          <w:rFonts w:hint="eastAsia"/>
        </w:rPr>
        <w:t>《刑法》</w:t>
      </w:r>
      <w:r>
        <w:t>第</w:t>
      </w:r>
      <w:r>
        <w:rPr>
          <w:rFonts w:hint="eastAsia"/>
        </w:rPr>
        <w:t>二百一十九</w:t>
      </w:r>
      <w:r>
        <w:t>条</w:t>
      </w:r>
      <w:r>
        <w:rPr>
          <w:rFonts w:hint="eastAsia"/>
        </w:rPr>
        <w:t>规定：“</w:t>
      </w:r>
      <w:r>
        <w:t>有下列侵犯商业秘密行为之一，情节严重的，处三年以下有期徒刑，并处或者单处罚金；情节特别严重的，处三年以上十年以下有期徒刑，并处罚金：（一）以盗窃、贿赂、欺诈、胁迫、电子侵入或者其他不正当手段获取权利人的商业秘密的；（二）披露、使用或者允许他人使用以前项手段获取的权利人的商业秘密的；（三）违反保密义务或者违反权利人有关保守商业秘密的要求，披露、使用或者允许他人使用其所掌握的商业秘密的。明知前款所列行为，获取、披露、使用或者允许他人使用该商业秘密的，以侵犯商业秘密论。本条所称权利人，是指商业秘密的所有人和经商业秘密所有人许可的商业秘密使用人。</w:t>
      </w:r>
      <w:r>
        <w:rPr>
          <w:rFonts w:hint="eastAsia"/>
        </w:rPr>
        <w:t>”</w:t>
      </w:r>
    </w:p>
    <w:p>
      <w:pPr>
        <w:pStyle w:val="50"/>
        <w:spacing w:line="312" w:lineRule="auto"/>
        <w:ind w:firstLine="426"/>
      </w:pPr>
      <w:r>
        <w:t>35</w:t>
      </w:r>
      <w:r>
        <w:rPr>
          <w:rFonts w:hint="eastAsia"/>
          <w:lang w:eastAsia="zh-Hans"/>
        </w:rPr>
        <w:t>.</w:t>
      </w:r>
      <w:r>
        <w:rPr>
          <w:lang w:eastAsia="zh-Hans"/>
        </w:rPr>
        <w:t xml:space="preserve">4 </w:t>
      </w:r>
      <w:r>
        <w:rPr>
          <w:rFonts w:hint="eastAsia"/>
        </w:rPr>
        <w:t>《行政处罚法》第八条规定：“</w:t>
      </w:r>
      <w:r>
        <w:t>公民、法人或者其他组织因违法行为受到行政处罚，其违法行为对他人造成损害的，应当依法承担民事责任。违法行为构成犯罪，应当依法追究刑事责任的，不得以行政处罚代替刑事处罚。</w:t>
      </w:r>
      <w:r>
        <w:rPr>
          <w:rFonts w:hint="eastAsia"/>
        </w:rPr>
        <w:t>”</w:t>
      </w:r>
    </w:p>
    <w:p>
      <w:pPr>
        <w:pStyle w:val="50"/>
        <w:spacing w:line="312" w:lineRule="auto"/>
        <w:ind w:firstLine="426"/>
      </w:pPr>
      <w:r>
        <w:t>35</w:t>
      </w:r>
      <w:r>
        <w:rPr>
          <w:rFonts w:hint="eastAsia"/>
          <w:lang w:eastAsia="zh-Hans"/>
        </w:rPr>
        <w:t>.</w:t>
      </w:r>
      <w:r>
        <w:rPr>
          <w:lang w:eastAsia="zh-Hans"/>
        </w:rPr>
        <w:t xml:space="preserve">5 </w:t>
      </w:r>
      <w:r>
        <w:rPr>
          <w:rFonts w:hint="eastAsia"/>
        </w:rPr>
        <w:t>因此，侵犯商业秘密行为在特定情形下同时符合民事责任、行政责任、刑事责任的构成要件，该种情形属于法条竞合，行政责任和刑事责任的承担不影响民事责任的承担。</w:t>
      </w:r>
    </w:p>
    <w:p>
      <w:pPr>
        <w:pStyle w:val="50"/>
        <w:spacing w:line="312" w:lineRule="auto"/>
        <w:ind w:firstLine="426"/>
        <w:rPr>
          <w:b/>
          <w:bCs/>
        </w:rPr>
      </w:pPr>
      <w:r>
        <w:rPr>
          <w:rFonts w:hint="eastAsia"/>
          <w:b/>
          <w:bCs/>
          <w:lang w:eastAsia="zh-Hans"/>
        </w:rPr>
        <w:t>第</w:t>
      </w:r>
      <w:r>
        <w:rPr>
          <w:b/>
          <w:bCs/>
          <w:lang w:eastAsia="zh-Hans"/>
        </w:rPr>
        <w:t>36</w:t>
      </w:r>
      <w:r>
        <w:rPr>
          <w:rFonts w:hint="eastAsia"/>
          <w:b/>
          <w:bCs/>
          <w:lang w:eastAsia="zh-Hans"/>
        </w:rPr>
        <w:t>条</w:t>
      </w:r>
      <w:r>
        <w:rPr>
          <w:b/>
          <w:bCs/>
          <w:lang w:eastAsia="zh-Hans"/>
        </w:rPr>
        <w:t xml:space="preserve"> </w:t>
      </w:r>
      <w:r>
        <w:rPr>
          <w:rFonts w:hint="eastAsia"/>
          <w:b/>
          <w:bCs/>
          <w:lang w:eastAsia="zh-Hans"/>
        </w:rPr>
        <w:t>【</w:t>
      </w:r>
      <w:r>
        <w:rPr>
          <w:rFonts w:hint="eastAsia"/>
          <w:b/>
          <w:bCs/>
        </w:rPr>
        <w:t>民事责任与行政责任的竞合】</w:t>
      </w:r>
    </w:p>
    <w:p>
      <w:pPr>
        <w:pStyle w:val="50"/>
        <w:spacing w:line="312" w:lineRule="auto"/>
        <w:ind w:firstLine="426"/>
      </w:pPr>
      <w:r>
        <w:t>36</w:t>
      </w:r>
      <w:r>
        <w:rPr>
          <w:rFonts w:hint="eastAsia"/>
          <w:lang w:eastAsia="zh-Hans"/>
        </w:rPr>
        <w:t>.</w:t>
      </w:r>
      <w:r>
        <w:rPr>
          <w:lang w:eastAsia="zh-Hans"/>
        </w:rPr>
        <w:t xml:space="preserve">1 </w:t>
      </w:r>
      <w:r>
        <w:rPr>
          <w:rFonts w:hint="eastAsia"/>
        </w:rPr>
        <w:t>侵犯商业秘密行政责任的承担不影响民事责任的承担</w:t>
      </w:r>
    </w:p>
    <w:p>
      <w:pPr>
        <w:pStyle w:val="50"/>
        <w:spacing w:line="312" w:lineRule="auto"/>
        <w:ind w:firstLine="0"/>
      </w:pPr>
      <w:r>
        <w:rPr>
          <w:rFonts w:hint="eastAsia"/>
        </w:rPr>
        <w:t xml:space="preserve">    侵犯商业秘密行政责任与民事责任的竞合属于法条竞合情形，行政责任的承担不影响民事责任的承担。</w:t>
      </w:r>
    </w:p>
    <w:p>
      <w:pPr>
        <w:pStyle w:val="50"/>
        <w:spacing w:line="312" w:lineRule="auto"/>
        <w:ind w:firstLine="426"/>
      </w:pPr>
      <w:r>
        <w:t>36</w:t>
      </w:r>
      <w:r>
        <w:rPr>
          <w:rFonts w:hint="eastAsia"/>
          <w:lang w:eastAsia="zh-Hans"/>
        </w:rPr>
        <w:t>.</w:t>
      </w:r>
      <w:r>
        <w:rPr>
          <w:lang w:eastAsia="zh-Hans"/>
        </w:rPr>
        <w:t xml:space="preserve">2 </w:t>
      </w:r>
      <w:r>
        <w:rPr>
          <w:rFonts w:hint="eastAsia"/>
        </w:rPr>
        <w:t>侵犯商业秘密行政违法调查程序的启动</w:t>
      </w:r>
    </w:p>
    <w:p>
      <w:pPr>
        <w:pStyle w:val="50"/>
        <w:spacing w:line="312" w:lineRule="auto"/>
        <w:ind w:firstLine="426"/>
      </w:pPr>
      <w:r>
        <w:t>36</w:t>
      </w:r>
      <w:r>
        <w:rPr>
          <w:rFonts w:hint="eastAsia"/>
          <w:lang w:eastAsia="zh-Hans"/>
        </w:rPr>
        <w:t>.</w:t>
      </w:r>
      <w:r>
        <w:rPr>
          <w:lang w:eastAsia="zh-Hans"/>
        </w:rPr>
        <w:t>2</w:t>
      </w:r>
      <w:r>
        <w:rPr>
          <w:rFonts w:hint="eastAsia"/>
          <w:lang w:eastAsia="zh-Hans"/>
        </w:rPr>
        <w:t>.</w:t>
      </w:r>
      <w:r>
        <w:rPr>
          <w:lang w:eastAsia="zh-Hans"/>
        </w:rPr>
        <w:t xml:space="preserve">1 </w:t>
      </w:r>
      <w:r>
        <w:t>对涉嫌不正当竞争行为，任何单位和个人有权向监督检查部门举报，监督检查部门接到举报后应当依法及时处理。</w:t>
      </w:r>
      <w:r>
        <w:rPr>
          <w:rFonts w:hint="eastAsia"/>
        </w:rPr>
        <w:t>侵犯商业秘密行为由县级以上市场监督管理部门调查处理。</w:t>
      </w:r>
      <w:r>
        <w:t>权利人（申请人）认为其商业秘密受到</w:t>
      </w:r>
      <w:r>
        <w:rPr>
          <w:rFonts w:hint="eastAsia"/>
        </w:rPr>
        <w:t>侵犯</w:t>
      </w:r>
      <w:r>
        <w:t>，向</w:t>
      </w:r>
      <w:r>
        <w:rPr>
          <w:rFonts w:hint="eastAsia"/>
        </w:rPr>
        <w:t>市场监督管理部门</w:t>
      </w:r>
      <w:r>
        <w:t>申请查处侵权行为时，应当提供商业秘密及侵权行为存在的有关证据。</w:t>
      </w:r>
      <w:r>
        <w:rPr>
          <w:rFonts w:hint="eastAsia"/>
        </w:rPr>
        <w:t>商业秘密的证据即商业秘密的载体、内容符合法定条件的证据。</w:t>
      </w:r>
    </w:p>
    <w:p>
      <w:pPr>
        <w:pStyle w:val="50"/>
        <w:spacing w:line="312" w:lineRule="auto"/>
        <w:ind w:firstLine="426"/>
      </w:pPr>
      <w:r>
        <w:t>36</w:t>
      </w:r>
      <w:r>
        <w:rPr>
          <w:rFonts w:hint="eastAsia"/>
          <w:lang w:eastAsia="zh-Hans"/>
        </w:rPr>
        <w:t>.</w:t>
      </w:r>
      <w:r>
        <w:rPr>
          <w:lang w:eastAsia="zh-Hans"/>
        </w:rPr>
        <w:t>2</w:t>
      </w:r>
      <w:r>
        <w:rPr>
          <w:rFonts w:hint="eastAsia"/>
          <w:lang w:eastAsia="zh-Hans"/>
        </w:rPr>
        <w:t>.</w:t>
      </w:r>
      <w:r>
        <w:rPr>
          <w:lang w:eastAsia="zh-Hans"/>
        </w:rPr>
        <w:t xml:space="preserve">2 </w:t>
      </w:r>
      <w:r>
        <w:rPr>
          <w:rFonts w:hint="eastAsia"/>
        </w:rPr>
        <w:t>市场监督管理部门也可以依据职权或者</w:t>
      </w:r>
      <w:r>
        <w:t>其他部门移送、上级交办等途径发现的违法行为线索，</w:t>
      </w:r>
      <w:r>
        <w:rPr>
          <w:rFonts w:hint="eastAsia"/>
        </w:rPr>
        <w:t>予以</w:t>
      </w:r>
      <w:r>
        <w:t>立案</w:t>
      </w:r>
      <w:r>
        <w:rPr>
          <w:rFonts w:hint="eastAsia"/>
        </w:rPr>
        <w:t>调查。</w:t>
      </w:r>
    </w:p>
    <w:p>
      <w:pPr>
        <w:pStyle w:val="50"/>
        <w:spacing w:line="312" w:lineRule="auto"/>
        <w:ind w:firstLine="426"/>
      </w:pPr>
      <w:r>
        <w:t>36</w:t>
      </w:r>
      <w:r>
        <w:rPr>
          <w:rFonts w:hint="eastAsia"/>
          <w:lang w:eastAsia="zh-Hans"/>
        </w:rPr>
        <w:t>.</w:t>
      </w:r>
      <w:r>
        <w:rPr>
          <w:lang w:eastAsia="zh-Hans"/>
        </w:rPr>
        <w:t xml:space="preserve">3 </w:t>
      </w:r>
      <w:r>
        <w:rPr>
          <w:rFonts w:hint="eastAsia"/>
        </w:rPr>
        <w:t>侵犯商业秘密行政违法行为的认定规则</w:t>
      </w:r>
    </w:p>
    <w:p>
      <w:pPr>
        <w:pStyle w:val="50"/>
        <w:spacing w:line="312" w:lineRule="auto"/>
        <w:ind w:firstLine="426"/>
      </w:pPr>
      <w:r>
        <w:t>权利人能证明被申请人所使用的信息与</w:t>
      </w:r>
      <w:r>
        <w:rPr>
          <w:rFonts w:hint="eastAsia"/>
        </w:rPr>
        <w:t>权利人</w:t>
      </w:r>
      <w:r>
        <w:t>的商业秘密具有</w:t>
      </w:r>
      <w:r>
        <w:rPr>
          <w:rFonts w:hint="eastAsia"/>
        </w:rPr>
        <w:t>同一性</w:t>
      </w:r>
      <w:r>
        <w:t>，同时能证明被申请人有获取其商业秘密的条件，而被申请人不能提供或者拒不提供其所使用的信息是合法获得或者使用的证据的，</w:t>
      </w:r>
      <w:r>
        <w:rPr>
          <w:rFonts w:hint="eastAsia"/>
        </w:rPr>
        <w:t>市场监督管理部门</w:t>
      </w:r>
      <w:r>
        <w:t>可以根据有关证据，认定被申请人有侵权行为。</w:t>
      </w:r>
    </w:p>
    <w:p>
      <w:pPr>
        <w:pStyle w:val="50"/>
        <w:spacing w:line="312" w:lineRule="auto"/>
        <w:ind w:firstLine="426"/>
      </w:pPr>
      <w:r>
        <w:t>36</w:t>
      </w:r>
      <w:r>
        <w:rPr>
          <w:rFonts w:hint="eastAsia"/>
          <w:lang w:eastAsia="zh-Hans"/>
        </w:rPr>
        <w:t>.</w:t>
      </w:r>
      <w:r>
        <w:rPr>
          <w:lang w:eastAsia="zh-Hans"/>
        </w:rPr>
        <w:t xml:space="preserve">4 </w:t>
      </w:r>
      <w:r>
        <w:rPr>
          <w:rFonts w:hint="eastAsia"/>
        </w:rPr>
        <w:t>民事侵权诉讼程序与行政违法调查程序的相互关系</w:t>
      </w:r>
    </w:p>
    <w:p>
      <w:pPr>
        <w:pStyle w:val="50"/>
        <w:spacing w:line="312" w:lineRule="auto"/>
        <w:ind w:firstLine="426"/>
      </w:pPr>
      <w:r>
        <w:t xml:space="preserve">（1） </w:t>
      </w:r>
      <w:r>
        <w:rPr>
          <w:rFonts w:hint="eastAsia"/>
        </w:rPr>
        <w:t>行政违法调查程序不影响民事侵权诉讼的审理</w:t>
      </w:r>
    </w:p>
    <w:p>
      <w:pPr>
        <w:pStyle w:val="50"/>
        <w:spacing w:line="312" w:lineRule="auto"/>
        <w:ind w:firstLine="426"/>
      </w:pPr>
      <w:r>
        <w:rPr>
          <w:rFonts w:hint="eastAsia"/>
        </w:rPr>
        <w:t>权利人就同一侵</w:t>
      </w:r>
      <w:r>
        <w:rPr>
          <w:rFonts w:hint="eastAsia"/>
          <w:lang w:eastAsia="zh-Hans"/>
        </w:rPr>
        <w:t>犯</w:t>
      </w:r>
      <w:r>
        <w:rPr>
          <w:rFonts w:hint="eastAsia"/>
        </w:rPr>
        <w:t>商业秘密行为，在市场监督管理部门已经受理或已经作出行政处罚决定后，权利人仍可以向法院提起民事侵权诉讼。法院对符合民事诉讼起诉条件的侵权诉讼，受理后进行审理，不受行政调查程序的影响。</w:t>
      </w:r>
    </w:p>
    <w:p>
      <w:pPr>
        <w:pStyle w:val="50"/>
        <w:spacing w:line="312" w:lineRule="auto"/>
        <w:ind w:firstLine="426"/>
      </w:pPr>
      <w:r>
        <w:t xml:space="preserve">（2） </w:t>
      </w:r>
      <w:r>
        <w:rPr>
          <w:rFonts w:hint="eastAsia"/>
        </w:rPr>
        <w:t>行政违法调查程序可因民事侵权诉讼的受理而中止</w:t>
      </w:r>
    </w:p>
    <w:p>
      <w:pPr>
        <w:pStyle w:val="50"/>
        <w:spacing w:line="312" w:lineRule="auto"/>
        <w:ind w:firstLine="426"/>
        <w:rPr>
          <w:color w:val="000000" w:themeColor="text1"/>
          <w14:textFill>
            <w14:solidFill>
              <w14:schemeClr w14:val="tx1"/>
            </w14:solidFill>
          </w14:textFill>
        </w:rPr>
      </w:pPr>
      <w:r>
        <w:rPr>
          <w:rFonts w:hint="eastAsia"/>
          <w:color w:val="000000" w:themeColor="text1"/>
          <w14:textFill>
            <w14:solidFill>
              <w14:schemeClr w14:val="tx1"/>
            </w14:solidFill>
          </w14:textFill>
        </w:rPr>
        <w:t>根据《市场监督管理行政处罚程序规定》（2021年7月2日国家市场监督管理总局令第42号修正）第四十六条之规定，可以“行政处罚决定须以相关案件的裁判结果或者其他行政决定为依据，而相关案件尚未审结或者其他行政决定尚未作出”为由，经负责人批准后中止案件调查。</w:t>
      </w:r>
    </w:p>
    <w:p>
      <w:pPr>
        <w:pStyle w:val="50"/>
        <w:spacing w:line="312" w:lineRule="auto"/>
        <w:ind w:firstLine="426"/>
      </w:pPr>
      <w:r>
        <w:t xml:space="preserve">（3） </w:t>
      </w:r>
      <w:r>
        <w:rPr>
          <w:rFonts w:hint="eastAsia"/>
        </w:rPr>
        <w:t xml:space="preserve">行政违法调查程序中的证据可以作为民事侵权诉讼的证据 </w:t>
      </w:r>
    </w:p>
    <w:p>
      <w:pPr>
        <w:pStyle w:val="50"/>
        <w:spacing w:line="312" w:lineRule="auto"/>
        <w:ind w:firstLine="426"/>
      </w:pPr>
      <w:r>
        <w:rPr>
          <w:rFonts w:hint="eastAsia"/>
        </w:rPr>
        <w:t>侵害商业秘密诉讼中，对于行政调查程序中形成的证据可以作为民事侵权诉讼的证据，需根据民事诉讼的证据规则予以审核认定。</w:t>
      </w:r>
    </w:p>
    <w:p>
      <w:pPr>
        <w:pStyle w:val="50"/>
        <w:spacing w:line="312" w:lineRule="auto"/>
        <w:ind w:firstLine="426"/>
      </w:pPr>
      <w:r>
        <w:t xml:space="preserve">（4） </w:t>
      </w:r>
      <w:r>
        <w:rPr>
          <w:rFonts w:hint="eastAsia"/>
        </w:rPr>
        <w:t>行政行为所认定的基本事实具有初步证明效力</w:t>
      </w:r>
    </w:p>
    <w:p>
      <w:pPr>
        <w:pStyle w:val="50"/>
        <w:spacing w:line="312" w:lineRule="auto"/>
        <w:ind w:firstLine="426"/>
      </w:pPr>
      <w:r>
        <w:rPr>
          <w:rFonts w:hint="eastAsia"/>
        </w:rPr>
        <w:t>《最高人民法院关于知识产权民事诉讼证据的若干规定》</w:t>
      </w:r>
      <w:r>
        <w:t>第</w:t>
      </w:r>
      <w:r>
        <w:rPr>
          <w:rFonts w:hint="eastAsia"/>
        </w:rPr>
        <w:t>六</w:t>
      </w:r>
      <w:r>
        <w:t>条</w:t>
      </w:r>
      <w:r>
        <w:rPr>
          <w:rFonts w:hint="eastAsia"/>
        </w:rPr>
        <w:t>规定：“</w:t>
      </w:r>
      <w:r>
        <w:t>对于未在法定期限内提起行政诉讼的行政行为所认定的基本事实，或者行政行为认定的基本事实已为生效裁判所确认的部分，当事人在知识产权民事诉讼中无须再证明，但有相反证据足以推翻的除外。</w:t>
      </w:r>
      <w:r>
        <w:rPr>
          <w:rFonts w:hint="eastAsia"/>
        </w:rPr>
        <w:t>”</w:t>
      </w:r>
    </w:p>
    <w:p>
      <w:pPr>
        <w:pStyle w:val="50"/>
        <w:spacing w:line="312" w:lineRule="auto"/>
        <w:ind w:firstLine="426"/>
      </w:pPr>
      <w:r>
        <w:t xml:space="preserve">（5） </w:t>
      </w:r>
      <w:r>
        <w:rPr>
          <w:rFonts w:hint="eastAsia"/>
        </w:rPr>
        <w:t>权利人可在法院受理民事侵权诉讼后撤回行政违法调查申请</w:t>
      </w:r>
    </w:p>
    <w:p>
      <w:pPr>
        <w:pStyle w:val="50"/>
        <w:spacing w:line="312" w:lineRule="auto"/>
        <w:ind w:firstLine="426"/>
        <w:rPr>
          <w:color w:val="000000" w:themeColor="text1"/>
          <w14:textFill>
            <w14:solidFill>
              <w14:schemeClr w14:val="tx1"/>
            </w14:solidFill>
          </w14:textFill>
        </w:rPr>
      </w:pPr>
      <w:r>
        <w:rPr>
          <w:rFonts w:hint="eastAsia"/>
          <w:color w:val="000000" w:themeColor="text1"/>
          <w14:textFill>
            <w14:solidFill>
              <w14:schemeClr w14:val="tx1"/>
            </w14:solidFill>
          </w14:textFill>
        </w:rPr>
        <w:t>对于因权利人投诉举报而启动的侵犯商业秘密行政违法行为调查程序，在市场监督管理部门作出处罚决定前，权利人向法院提起侵害商业秘密之诉且已被受理的，则权利人可以向市场监督管理部门申请撤回投诉，是否同意撤销立案由市场监督管理部门依法认定。</w:t>
      </w:r>
    </w:p>
    <w:p>
      <w:pPr>
        <w:pStyle w:val="50"/>
        <w:spacing w:line="312" w:lineRule="auto"/>
        <w:ind w:firstLine="426"/>
        <w:rPr>
          <w:b/>
          <w:bCs/>
        </w:rPr>
      </w:pPr>
      <w:r>
        <w:rPr>
          <w:rFonts w:hint="eastAsia"/>
          <w:b/>
          <w:bCs/>
          <w:lang w:eastAsia="zh-Hans"/>
        </w:rPr>
        <w:t>第</w:t>
      </w:r>
      <w:r>
        <w:rPr>
          <w:b/>
          <w:bCs/>
          <w:lang w:eastAsia="zh-Hans"/>
        </w:rPr>
        <w:t>37</w:t>
      </w:r>
      <w:r>
        <w:rPr>
          <w:rFonts w:hint="eastAsia"/>
          <w:b/>
          <w:bCs/>
          <w:lang w:eastAsia="zh-Hans"/>
        </w:rPr>
        <w:t>条</w:t>
      </w:r>
      <w:r>
        <w:rPr>
          <w:b/>
          <w:bCs/>
          <w:lang w:eastAsia="zh-Hans"/>
        </w:rPr>
        <w:t xml:space="preserve"> </w:t>
      </w:r>
      <w:r>
        <w:rPr>
          <w:rFonts w:hint="eastAsia"/>
          <w:b/>
          <w:bCs/>
          <w:lang w:eastAsia="zh-Hans"/>
        </w:rPr>
        <w:t>【</w:t>
      </w:r>
      <w:r>
        <w:rPr>
          <w:rFonts w:hint="eastAsia"/>
          <w:b/>
          <w:bCs/>
        </w:rPr>
        <w:t>行政责任与刑事责任的竞合】</w:t>
      </w:r>
    </w:p>
    <w:p>
      <w:pPr>
        <w:pStyle w:val="50"/>
        <w:spacing w:line="312" w:lineRule="auto"/>
        <w:ind w:firstLine="426"/>
      </w:pPr>
      <w:r>
        <w:t>37</w:t>
      </w:r>
      <w:r>
        <w:rPr>
          <w:rFonts w:hint="eastAsia"/>
          <w:lang w:eastAsia="zh-Hans"/>
        </w:rPr>
        <w:t>.</w:t>
      </w:r>
      <w:r>
        <w:rPr>
          <w:lang w:eastAsia="zh-Hans"/>
        </w:rPr>
        <w:t xml:space="preserve">1 </w:t>
      </w:r>
      <w:r>
        <w:rPr>
          <w:rFonts w:hint="eastAsia"/>
        </w:rPr>
        <w:t>侵犯商业秘密行政违法调查程序与刑事程序的关系</w:t>
      </w:r>
    </w:p>
    <w:p>
      <w:pPr>
        <w:pStyle w:val="50"/>
        <w:spacing w:line="312" w:lineRule="auto"/>
        <w:ind w:firstLine="426"/>
      </w:pPr>
      <w:r>
        <w:rPr>
          <w:rFonts w:hint="eastAsia"/>
        </w:rPr>
        <w:t>《行政处罚法》第二十七条规定：“</w:t>
      </w:r>
      <w:r>
        <w:t>违法行为涉嫌犯罪的，行政机关应当及时将案件移送司法机关，依法追究刑事责任。对依法不需要追究刑事责任或者免予刑事处罚，但应当给予行政处罚的，司法机关应当及时将案件移送有关行政机关。</w:t>
      </w:r>
      <w:r>
        <w:rPr>
          <w:rFonts w:hint="eastAsia"/>
        </w:rPr>
        <w:t>”</w:t>
      </w:r>
      <w:r>
        <w:t xml:space="preserve"> </w:t>
      </w:r>
      <w:r>
        <w:rPr>
          <w:color w:val="000000" w:themeColor="text1"/>
          <w14:textFill>
            <w14:solidFill>
              <w14:schemeClr w14:val="tx1"/>
            </w14:solidFill>
          </w14:textFill>
        </w:rPr>
        <w:t>《市场监督管理行政处罚程序规定》（2021年7月2日国家市场监督管理总局令第42号修正）第</w:t>
      </w:r>
      <w:r>
        <w:rPr>
          <w:rFonts w:hint="eastAsia"/>
          <w:color w:val="000000" w:themeColor="text1"/>
          <w14:textFill>
            <w14:solidFill>
              <w14:schemeClr w14:val="tx1"/>
            </w14:solidFill>
          </w14:textFill>
        </w:rPr>
        <w:t>一十七</w:t>
      </w:r>
      <w:r>
        <w:rPr>
          <w:color w:val="000000" w:themeColor="text1"/>
          <w14:textFill>
            <w14:solidFill>
              <w14:schemeClr w14:val="tx1"/>
            </w14:solidFill>
          </w14:textFill>
        </w:rPr>
        <w:t>条第</w:t>
      </w:r>
      <w:r>
        <w:rPr>
          <w:rFonts w:hint="eastAsia"/>
          <w:color w:val="000000" w:themeColor="text1"/>
          <w14:textFill>
            <w14:solidFill>
              <w14:schemeClr w14:val="tx1"/>
            </w14:solidFill>
          </w14:textFill>
        </w:rPr>
        <w:t>二</w:t>
      </w:r>
      <w:r>
        <w:rPr>
          <w:color w:val="000000" w:themeColor="text1"/>
          <w14:textFill>
            <w14:solidFill>
              <w14:schemeClr w14:val="tx1"/>
            </w14:solidFill>
          </w14:textFill>
        </w:rPr>
        <w:t>款规定</w:t>
      </w:r>
      <w:r>
        <w:rPr>
          <w:rFonts w:hint="eastAsia"/>
          <w:color w:val="000000" w:themeColor="text1"/>
          <w14:textFill>
            <w14:solidFill>
              <w14:schemeClr w14:val="tx1"/>
            </w14:solidFill>
          </w14:textFill>
        </w:rPr>
        <w:t>：</w:t>
      </w:r>
      <w:r>
        <w:rPr>
          <w:rFonts w:hint="eastAsia"/>
        </w:rPr>
        <w:t>“</w:t>
      </w:r>
      <w:r>
        <w:t>市场监督管理部门发现违法行为涉嫌犯罪的，应当依照有关规定将案件移送司法机关。</w:t>
      </w:r>
      <w:r>
        <w:rPr>
          <w:rFonts w:hint="eastAsia"/>
        </w:rPr>
        <w:t>”因此，侵犯商业秘密行政违法调查程序与刑事程序之间不能并存，应根据案件是否需要追究刑事责任进行相互移送。</w:t>
      </w:r>
    </w:p>
    <w:p>
      <w:pPr>
        <w:pStyle w:val="50"/>
        <w:spacing w:line="312" w:lineRule="auto"/>
        <w:ind w:firstLine="426"/>
      </w:pPr>
      <w:r>
        <w:t>37</w:t>
      </w:r>
      <w:r>
        <w:rPr>
          <w:rFonts w:hint="eastAsia"/>
          <w:lang w:eastAsia="zh-Hans"/>
        </w:rPr>
        <w:t>.</w:t>
      </w:r>
      <w:r>
        <w:rPr>
          <w:lang w:eastAsia="zh-Hans"/>
        </w:rPr>
        <w:t xml:space="preserve">2 </w:t>
      </w:r>
      <w:r>
        <w:rPr>
          <w:rFonts w:hint="eastAsia"/>
        </w:rPr>
        <w:t>侵犯商业秘密行政违法责任与刑事责任不重复评价</w:t>
      </w:r>
    </w:p>
    <w:p>
      <w:pPr>
        <w:pStyle w:val="50"/>
        <w:spacing w:line="312" w:lineRule="auto"/>
        <w:ind w:firstLine="426"/>
      </w:pPr>
      <w:r>
        <w:rPr>
          <w:rFonts w:hint="eastAsia"/>
        </w:rPr>
        <w:t>《行政处罚法》第三十五条第二款规定：“</w:t>
      </w:r>
      <w:r>
        <w:t>违法行为构成犯罪，人民法院判处罚金时，行政机关已经给予当事人罚款的，应当折抵相应罚金；行政机关尚未给予当事人罚款的，不再给予罚款。</w:t>
      </w:r>
      <w:r>
        <w:rPr>
          <w:rFonts w:hint="eastAsia"/>
        </w:rPr>
        <w:t>”因此，罚款可以折抵罚金，已判罚金的，不再给予罚款。</w:t>
      </w:r>
    </w:p>
    <w:p>
      <w:pPr>
        <w:pStyle w:val="50"/>
        <w:spacing w:line="312" w:lineRule="auto"/>
        <w:ind w:firstLine="426"/>
        <w:rPr>
          <w:b/>
          <w:bCs/>
        </w:rPr>
      </w:pPr>
      <w:r>
        <w:rPr>
          <w:rFonts w:hint="eastAsia"/>
          <w:b/>
          <w:bCs/>
          <w:lang w:eastAsia="zh-Hans"/>
        </w:rPr>
        <w:t>第</w:t>
      </w:r>
      <w:r>
        <w:rPr>
          <w:b/>
          <w:bCs/>
          <w:lang w:eastAsia="zh-Hans"/>
        </w:rPr>
        <w:t>38</w:t>
      </w:r>
      <w:r>
        <w:rPr>
          <w:rFonts w:hint="eastAsia"/>
          <w:b/>
          <w:bCs/>
          <w:lang w:eastAsia="zh-Hans"/>
        </w:rPr>
        <w:t>条</w:t>
      </w:r>
      <w:r>
        <w:rPr>
          <w:b/>
          <w:bCs/>
          <w:lang w:eastAsia="zh-Hans"/>
        </w:rPr>
        <w:t xml:space="preserve"> </w:t>
      </w:r>
      <w:r>
        <w:rPr>
          <w:rFonts w:hint="eastAsia"/>
          <w:b/>
          <w:bCs/>
          <w:lang w:eastAsia="zh-Hans"/>
        </w:rPr>
        <w:t>【</w:t>
      </w:r>
      <w:r>
        <w:rPr>
          <w:rFonts w:hint="eastAsia"/>
          <w:b/>
          <w:bCs/>
        </w:rPr>
        <w:t>民事责任与刑事责任的竞合】</w:t>
      </w:r>
    </w:p>
    <w:p>
      <w:pPr>
        <w:pStyle w:val="50"/>
        <w:spacing w:line="312" w:lineRule="auto"/>
        <w:ind w:firstLine="426"/>
      </w:pPr>
      <w:r>
        <w:t>38</w:t>
      </w:r>
      <w:r>
        <w:rPr>
          <w:rFonts w:hint="eastAsia"/>
          <w:lang w:eastAsia="zh-Hans"/>
        </w:rPr>
        <w:t>.</w:t>
      </w:r>
      <w:r>
        <w:rPr>
          <w:lang w:eastAsia="zh-Hans"/>
        </w:rPr>
        <w:t xml:space="preserve">1 </w:t>
      </w:r>
      <w:r>
        <w:rPr>
          <w:rFonts w:hint="eastAsia"/>
        </w:rPr>
        <w:t>民事责任和刑事责任互相独立，互不影响</w:t>
      </w:r>
    </w:p>
    <w:p>
      <w:pPr>
        <w:pStyle w:val="50"/>
        <w:spacing w:line="312" w:lineRule="auto"/>
        <w:ind w:firstLine="426"/>
      </w:pPr>
      <w:r>
        <w:rPr>
          <w:rFonts w:hint="eastAsia"/>
        </w:rPr>
        <w:t>因侵犯商业秘密侵权行为与犯罪行为属于法条竞合情形，刑事责任的承担不影响民事责任的承担；民事责任的承担也不影响刑事责任的追究。</w:t>
      </w:r>
    </w:p>
    <w:p>
      <w:pPr>
        <w:pStyle w:val="50"/>
        <w:spacing w:line="312" w:lineRule="auto"/>
        <w:ind w:firstLine="426"/>
      </w:pPr>
      <w:r>
        <w:t>38</w:t>
      </w:r>
      <w:r>
        <w:rPr>
          <w:rFonts w:hint="eastAsia"/>
          <w:lang w:eastAsia="zh-Hans"/>
        </w:rPr>
        <w:t>.</w:t>
      </w:r>
      <w:r>
        <w:rPr>
          <w:lang w:eastAsia="zh-Hans"/>
        </w:rPr>
        <w:t xml:space="preserve">2 </w:t>
      </w:r>
      <w:r>
        <w:rPr>
          <w:rFonts w:hint="eastAsia"/>
        </w:rPr>
        <w:t>侵</w:t>
      </w:r>
      <w:r>
        <w:rPr>
          <w:rFonts w:hint="eastAsia"/>
          <w:lang w:eastAsia="zh-Hans"/>
        </w:rPr>
        <w:t>犯</w:t>
      </w:r>
      <w:r>
        <w:rPr>
          <w:rFonts w:hint="eastAsia"/>
        </w:rPr>
        <w:t>商业秘密民事诉讼程序与刑事程序的关系</w:t>
      </w:r>
    </w:p>
    <w:p>
      <w:pPr>
        <w:pStyle w:val="50"/>
        <w:spacing w:line="312" w:lineRule="auto"/>
        <w:ind w:firstLine="426"/>
      </w:pPr>
      <w:r>
        <w:t xml:space="preserve">（1） </w:t>
      </w:r>
      <w:r>
        <w:rPr>
          <w:rFonts w:hint="eastAsia"/>
        </w:rPr>
        <w:t>需以刑事案件审理结果为前提的，可以中止审理</w:t>
      </w:r>
    </w:p>
    <w:p>
      <w:pPr>
        <w:pStyle w:val="50"/>
        <w:spacing w:line="312" w:lineRule="auto"/>
        <w:ind w:firstLine="426"/>
      </w:pPr>
      <w:r>
        <w:rPr>
          <w:rFonts w:hint="eastAsia"/>
        </w:rPr>
        <w:t>《民事诉讼法》第一百五十条第五项规定</w:t>
      </w:r>
      <w:r>
        <w:t>本案必须以另一案的审理结果为依据，而另一案尚未审结的</w:t>
      </w:r>
      <w:r>
        <w:rPr>
          <w:rFonts w:hint="eastAsia"/>
        </w:rPr>
        <w:t>，应当中止诉讼。</w:t>
      </w:r>
      <w:r>
        <w:t>《最高人民法院关于审理侵犯商业秘密民事案件适用法律若干问题的规定》</w:t>
      </w:r>
      <w:r>
        <w:rPr>
          <w:rFonts w:hint="eastAsia"/>
        </w:rPr>
        <w:t>第二十五条规定：“</w:t>
      </w:r>
      <w:r>
        <w:t>当事人以涉及同一被诉侵犯商业秘密行为的刑事案件尚未审结为由，请求中止审理侵犯商业秘密民事案件，人民法院在听取当事人意见后认为必须以该刑事案件的审理结果为依据的，应予支持。</w:t>
      </w:r>
      <w:r>
        <w:rPr>
          <w:rFonts w:hint="eastAsia"/>
        </w:rPr>
        <w:t>”因此，当同一被诉侵犯商业秘密行为的刑事程序和民事诉讼程序并存时，民事诉讼是否中止审理，需要遵循听证原则，并要符合民事侵权诉讼需以刑事案件的审理结果为依据的条件。</w:t>
      </w:r>
    </w:p>
    <w:p>
      <w:pPr>
        <w:pStyle w:val="50"/>
        <w:spacing w:line="312" w:lineRule="auto"/>
        <w:ind w:firstLine="426"/>
      </w:pPr>
      <w:r>
        <w:t xml:space="preserve">（2） </w:t>
      </w:r>
      <w:r>
        <w:rPr>
          <w:rFonts w:hint="eastAsia"/>
        </w:rPr>
        <w:t>刑事诉讼中形成的证据必须根据民事诉讼证据规则予以重新审查认定</w:t>
      </w:r>
    </w:p>
    <w:p>
      <w:pPr>
        <w:pStyle w:val="50"/>
        <w:spacing w:line="312" w:lineRule="auto"/>
        <w:ind w:firstLine="426"/>
      </w:pPr>
      <w:r>
        <w:t>《最高人民法院关于审理侵犯商业秘密民事案件适用法律若干问题的规定》</w:t>
      </w:r>
      <w:r>
        <w:rPr>
          <w:rFonts w:hint="eastAsia"/>
        </w:rPr>
        <w:t>第二十二条规定：“</w:t>
      </w:r>
      <w:r>
        <w:t>人民法院审理侵犯商业秘密民事案件时，对在侵犯商业秘密犯罪刑事诉讼程序中形成的证据，应当按照法定程序，全面、客观地审查。</w:t>
      </w:r>
      <w:r>
        <w:rPr>
          <w:rFonts w:hint="eastAsia"/>
        </w:rPr>
        <w:t>”</w:t>
      </w:r>
    </w:p>
    <w:p>
      <w:pPr>
        <w:pStyle w:val="50"/>
        <w:spacing w:line="312" w:lineRule="auto"/>
        <w:ind w:firstLine="426"/>
      </w:pPr>
      <w:r>
        <w:t xml:space="preserve">（3） </w:t>
      </w:r>
      <w:r>
        <w:rPr>
          <w:rFonts w:hint="eastAsia"/>
        </w:rPr>
        <w:t>刑事生效裁判对是否侵犯商业秘密的认定对民事侵权的认定没有既判力</w:t>
      </w:r>
    </w:p>
    <w:p>
      <w:pPr>
        <w:pStyle w:val="50"/>
        <w:spacing w:line="312" w:lineRule="auto"/>
        <w:ind w:firstLine="426"/>
      </w:pPr>
      <w:r>
        <w:rPr>
          <w:rFonts w:hint="eastAsia"/>
        </w:rPr>
        <w:t>即使刑事生效裁判已经认定被告人的行为构成侵犯商业秘密罪，但该事实对民事侵权没有既判力。民事诉讼仍要根据侵</w:t>
      </w:r>
      <w:r>
        <w:rPr>
          <w:rFonts w:hint="eastAsia"/>
          <w:lang w:eastAsia="zh-Hans"/>
        </w:rPr>
        <w:t>犯</w:t>
      </w:r>
      <w:r>
        <w:rPr>
          <w:rFonts w:hint="eastAsia"/>
        </w:rPr>
        <w:t>商业秘密行为的构成要件予以认定。</w:t>
      </w:r>
    </w:p>
    <w:p>
      <w:pPr>
        <w:pStyle w:val="50"/>
        <w:spacing w:line="312" w:lineRule="auto"/>
        <w:ind w:firstLine="426"/>
      </w:pPr>
      <w:r>
        <w:t xml:space="preserve">（4） </w:t>
      </w:r>
      <w:r>
        <w:rPr>
          <w:rFonts w:hint="eastAsia"/>
        </w:rPr>
        <w:t>刑事生效裁判认定的实际损失或违法所得可以作为侵犯商业秘密民事案件赔偿数额的依据</w:t>
      </w:r>
    </w:p>
    <w:p>
      <w:pPr>
        <w:pStyle w:val="50"/>
        <w:spacing w:line="312" w:lineRule="auto"/>
        <w:ind w:firstLine="426"/>
      </w:pPr>
      <w:r>
        <w:t>《最高人民法院关于审理侵犯商业秘密民事案件适用法律若干问题的规定》</w:t>
      </w:r>
      <w:r>
        <w:rPr>
          <w:rFonts w:hint="eastAsia"/>
        </w:rPr>
        <w:t>第二十三条规定：“</w:t>
      </w:r>
      <w:r>
        <w:t>当事人主张依据生效刑事裁判认定的实际损失或者违法所得确定涉及同一侵犯商业秘密行为的民事案件赔偿数额的，人民法院应予支持。</w:t>
      </w:r>
      <w:r>
        <w:rPr>
          <w:rFonts w:hint="eastAsia"/>
        </w:rPr>
        <w:t>”这里的当事人既包括商业秘密的权利人，也包括被诉侵权行为人。</w:t>
      </w:r>
    </w:p>
    <w:p>
      <w:pPr>
        <w:pStyle w:val="2"/>
        <w:spacing w:after="0" w:line="312" w:lineRule="auto"/>
        <w:jc w:val="both"/>
        <w:rPr>
          <w:rFonts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ascii="黑体" w:hAnsi="黑体" w:eastAsia="黑体" w:cs="黑体"/>
          <w:sz w:val="28"/>
          <w:szCs w:val="28"/>
        </w:rPr>
      </w:pPr>
    </w:p>
    <w:p>
      <w:pPr>
        <w:rPr>
          <w:rFonts w:hint="eastAsia" w:ascii="黑体" w:hAnsi="黑体" w:eastAsia="黑体" w:cs="黑体"/>
          <w:sz w:val="28"/>
          <w:szCs w:val="28"/>
        </w:rPr>
      </w:pPr>
    </w:p>
    <w:p>
      <w:pPr>
        <w:rPr>
          <w:rFonts w:ascii="黑体" w:hAnsi="黑体" w:eastAsia="黑体" w:cs="黑体"/>
          <w:sz w:val="28"/>
          <w:szCs w:val="28"/>
        </w:rPr>
      </w:pPr>
    </w:p>
    <w:p>
      <w:pPr>
        <w:pStyle w:val="2"/>
        <w:spacing w:after="0" w:line="312" w:lineRule="auto"/>
        <w:rPr>
          <w:rFonts w:cs="黑体"/>
          <w:sz w:val="28"/>
          <w:szCs w:val="28"/>
        </w:rPr>
      </w:pPr>
      <w:bookmarkStart w:id="27" w:name="_Toc122294624"/>
      <w:r>
        <w:rPr>
          <w:rFonts w:hint="eastAsia" w:cs="黑体"/>
          <w:sz w:val="28"/>
          <w:szCs w:val="28"/>
        </w:rPr>
        <w:t>第三章 商业秘密侵权诉讼的诉前工作</w:t>
      </w:r>
      <w:bookmarkEnd w:id="27"/>
    </w:p>
    <w:p>
      <w:pPr>
        <w:pStyle w:val="3"/>
        <w:spacing w:after="0" w:line="312" w:lineRule="auto"/>
        <w:jc w:val="center"/>
        <w:rPr>
          <w:sz w:val="24"/>
          <w:szCs w:val="24"/>
        </w:rPr>
      </w:pPr>
      <w:bookmarkStart w:id="28" w:name="_Toc122294625"/>
      <w:r>
        <w:rPr>
          <w:rFonts w:hint="eastAsia"/>
          <w:sz w:val="24"/>
          <w:szCs w:val="24"/>
        </w:rPr>
        <w:t>第一节 案件基本情况审查</w:t>
      </w:r>
      <w:bookmarkEnd w:id="28"/>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lang w:eastAsia="zh-Hans"/>
        </w:rPr>
        <w:t>第</w:t>
      </w:r>
      <w:r>
        <w:rPr>
          <w:rFonts w:ascii="仿宋" w:hAnsi="仿宋" w:eastAsia="仿宋"/>
          <w:b/>
          <w:bCs/>
          <w:lang w:eastAsia="zh-Hans"/>
        </w:rPr>
        <w:t>39</w:t>
      </w:r>
      <w:r>
        <w:rPr>
          <w:rFonts w:hint="eastAsia" w:ascii="仿宋" w:hAnsi="仿宋" w:eastAsia="仿宋"/>
          <w:b/>
          <w:bCs/>
          <w:lang w:eastAsia="zh-Hans"/>
        </w:rPr>
        <w:t>条</w:t>
      </w:r>
      <w:r>
        <w:rPr>
          <w:rFonts w:ascii="仿宋" w:hAnsi="仿宋" w:eastAsia="仿宋"/>
          <w:b/>
          <w:bCs/>
          <w:lang w:eastAsia="zh-Hans"/>
        </w:rPr>
        <w:t xml:space="preserve"> 【</w:t>
      </w:r>
      <w:r>
        <w:rPr>
          <w:rFonts w:hint="eastAsia" w:ascii="仿宋" w:hAnsi="仿宋" w:eastAsia="仿宋"/>
          <w:b/>
          <w:bCs/>
        </w:rPr>
        <w:t>案件基本情况审查</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律师代理商业秘密侵权案件应从</w:t>
      </w:r>
      <w:r>
        <w:rPr>
          <w:rFonts w:hint="eastAsia" w:ascii="仿宋" w:hAnsi="仿宋" w:eastAsia="仿宋"/>
          <w:lang w:eastAsia="zh-Hans"/>
        </w:rPr>
        <w:t>委托人</w:t>
      </w:r>
      <w:r>
        <w:rPr>
          <w:rFonts w:hint="eastAsia" w:ascii="仿宋" w:hAnsi="仿宋" w:eastAsia="仿宋"/>
        </w:rPr>
        <w:t>的诉讼目的和需求出发进行案情分析和审查，主要审查以下内容：</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w:t>
      </w:r>
      <w:r>
        <w:rPr>
          <w:rFonts w:hint="eastAsia" w:ascii="仿宋" w:hAnsi="仿宋" w:eastAsia="仿宋"/>
          <w:lang w:eastAsia="zh-Hans"/>
        </w:rPr>
        <w:t>审查</w:t>
      </w:r>
      <w:r>
        <w:rPr>
          <w:rFonts w:hint="eastAsia" w:ascii="仿宋" w:hAnsi="仿宋" w:eastAsia="仿宋"/>
        </w:rPr>
        <w:t>主体资格】</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lang w:eastAsia="zh-Hans"/>
        </w:rPr>
        <w:t>审查</w:t>
      </w:r>
      <w:r>
        <w:rPr>
          <w:rFonts w:hint="eastAsia" w:ascii="仿宋" w:hAnsi="仿宋" w:eastAsia="仿宋"/>
        </w:rPr>
        <w:t>主体资格是否适格，主要从原告</w:t>
      </w:r>
      <w:r>
        <w:rPr>
          <w:rFonts w:hint="eastAsia" w:ascii="仿宋" w:hAnsi="仿宋" w:eastAsia="仿宋"/>
          <w:lang w:eastAsia="zh-Hans"/>
        </w:rPr>
        <w:t>是否系商业秘密的权利人或</w:t>
      </w:r>
      <w:r>
        <w:rPr>
          <w:rFonts w:hint="eastAsia" w:ascii="仿宋" w:hAnsi="仿宋" w:eastAsia="仿宋"/>
        </w:rPr>
        <w:t>有资格提起诉讼的被许可人方面进行审查。</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lang w:eastAsia="zh-Hans"/>
        </w:rPr>
        <w:t>审查</w:t>
      </w:r>
      <w:r>
        <w:rPr>
          <w:rFonts w:hint="eastAsia" w:ascii="仿宋" w:hAnsi="仿宋" w:eastAsia="仿宋"/>
        </w:rPr>
        <w:t>相关商业秘密载体的证据原件是否为委托当事人</w:t>
      </w:r>
      <w:r>
        <w:rPr>
          <w:rFonts w:hint="eastAsia" w:ascii="仿宋" w:hAnsi="仿宋" w:eastAsia="仿宋"/>
          <w:lang w:eastAsia="zh-Hans"/>
        </w:rPr>
        <w:t>所有，或者</w:t>
      </w:r>
      <w:r>
        <w:rPr>
          <w:rFonts w:hint="eastAsia" w:ascii="仿宋" w:hAnsi="仿宋" w:eastAsia="仿宋"/>
        </w:rPr>
        <w:t>许可合同</w:t>
      </w:r>
      <w:r>
        <w:rPr>
          <w:rFonts w:hint="eastAsia" w:ascii="仿宋" w:hAnsi="仿宋" w:eastAsia="仿宋"/>
          <w:lang w:eastAsia="zh-Hans"/>
        </w:rPr>
        <w:t>约定的由权利人交付给被许可人持有的</w:t>
      </w:r>
      <w:r>
        <w:rPr>
          <w:rFonts w:hint="eastAsia" w:ascii="仿宋" w:hAnsi="仿宋" w:eastAsia="仿宋"/>
        </w:rPr>
        <w:t>商业秘密的证据。其中，涉及技术信息的案件应了解技术研发背景、研发过程、实验过程等技术信息形成过程的信息；涉及经营信息的案件应了解经营信息获取的方式、渠道、总结整理深度信息的内容、方式等经营信息获取过程的信息。除此以外，如遇母子公司、关联公司等共有权利人的情况，还应审查商业秘密共有主体是否适格，主要围绕相关权属约定的内容展开。</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3 </w:t>
      </w:r>
      <w:r>
        <w:rPr>
          <w:rFonts w:ascii="仿宋" w:hAnsi="仿宋" w:eastAsia="仿宋"/>
        </w:rPr>
        <w:t>如果原告是商业秘密权利人，</w:t>
      </w:r>
      <w:r>
        <w:rPr>
          <w:rFonts w:hint="eastAsia" w:ascii="仿宋" w:hAnsi="仿宋" w:eastAsia="仿宋"/>
        </w:rPr>
        <w:t>对</w:t>
      </w:r>
      <w:r>
        <w:rPr>
          <w:rFonts w:ascii="仿宋" w:hAnsi="仿宋" w:eastAsia="仿宋"/>
        </w:rPr>
        <w:t>权利来源</w:t>
      </w:r>
      <w:r>
        <w:rPr>
          <w:rFonts w:hint="eastAsia" w:ascii="仿宋" w:hAnsi="仿宋" w:eastAsia="仿宋"/>
        </w:rPr>
        <w:t>也应作相应审查。如果</w:t>
      </w:r>
      <w:r>
        <w:rPr>
          <w:rFonts w:ascii="仿宋" w:hAnsi="仿宋" w:eastAsia="仿宋"/>
        </w:rPr>
        <w:t>原告主张商业秘密是自己</w:t>
      </w:r>
      <w:r>
        <w:rPr>
          <w:rFonts w:hint="eastAsia" w:ascii="仿宋" w:hAnsi="仿宋" w:eastAsia="仿宋"/>
          <w:lang w:eastAsia="zh-Hans"/>
        </w:rPr>
        <w:t>研发</w:t>
      </w:r>
      <w:r>
        <w:rPr>
          <w:rFonts w:ascii="仿宋" w:hAnsi="仿宋" w:eastAsia="仿宋"/>
        </w:rPr>
        <w:t>所得，</w:t>
      </w:r>
      <w:r>
        <w:rPr>
          <w:rFonts w:hint="eastAsia" w:ascii="仿宋" w:hAnsi="仿宋" w:eastAsia="仿宋"/>
        </w:rPr>
        <w:t>则须</w:t>
      </w:r>
      <w:r>
        <w:rPr>
          <w:rFonts w:ascii="仿宋" w:hAnsi="仿宋" w:eastAsia="仿宋"/>
        </w:rPr>
        <w:t>审查其证据能否支持其主张及有无相反</w:t>
      </w:r>
      <w:r>
        <w:rPr>
          <w:rFonts w:hint="eastAsia" w:ascii="仿宋" w:hAnsi="仿宋" w:eastAsia="仿宋"/>
        </w:rPr>
        <w:t>证据</w:t>
      </w:r>
      <w:r>
        <w:rPr>
          <w:rFonts w:ascii="仿宋" w:hAnsi="仿宋" w:eastAsia="仿宋"/>
        </w:rPr>
        <w:t>，</w:t>
      </w:r>
      <w:r>
        <w:rPr>
          <w:rFonts w:hint="eastAsia" w:ascii="仿宋" w:hAnsi="仿宋" w:eastAsia="仿宋"/>
        </w:rPr>
        <w:t>涉案信息</w:t>
      </w:r>
      <w:r>
        <w:rPr>
          <w:rFonts w:ascii="仿宋" w:hAnsi="仿宋" w:eastAsia="仿宋"/>
        </w:rPr>
        <w:t>是否为公知领域的技术或信息等。</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如果</w:t>
      </w:r>
      <w:r>
        <w:rPr>
          <w:rFonts w:ascii="仿宋" w:hAnsi="仿宋" w:eastAsia="仿宋"/>
        </w:rPr>
        <w:t>原告主张商业秘密是委托开发或合作开发所得的，</w:t>
      </w:r>
      <w:r>
        <w:rPr>
          <w:rFonts w:hint="eastAsia" w:ascii="仿宋" w:hAnsi="仿宋" w:eastAsia="仿宋"/>
        </w:rPr>
        <w:t>须</w:t>
      </w:r>
      <w:r>
        <w:rPr>
          <w:rFonts w:ascii="仿宋" w:hAnsi="仿宋" w:eastAsia="仿宋"/>
        </w:rPr>
        <w:t>审查其权利归属的约定，是归开发方，还是</w:t>
      </w:r>
      <w:r>
        <w:rPr>
          <w:rFonts w:hint="eastAsia" w:ascii="仿宋" w:hAnsi="仿宋" w:eastAsia="仿宋"/>
        </w:rPr>
        <w:t>归</w:t>
      </w:r>
      <w:r>
        <w:rPr>
          <w:rFonts w:ascii="仿宋" w:hAnsi="仿宋" w:eastAsia="仿宋"/>
        </w:rPr>
        <w:t>委托方，还是共同所有。</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5 </w:t>
      </w:r>
      <w:r>
        <w:rPr>
          <w:rFonts w:hint="eastAsia" w:ascii="仿宋" w:hAnsi="仿宋" w:eastAsia="仿宋"/>
        </w:rPr>
        <w:t>如果</w:t>
      </w:r>
      <w:r>
        <w:rPr>
          <w:rFonts w:ascii="仿宋" w:hAnsi="仿宋" w:eastAsia="仿宋"/>
        </w:rPr>
        <w:t>原告主张商业秘密是受让所得的，</w:t>
      </w:r>
      <w:r>
        <w:rPr>
          <w:rFonts w:hint="eastAsia" w:ascii="仿宋" w:hAnsi="仿宋" w:eastAsia="仿宋"/>
        </w:rPr>
        <w:t>则</w:t>
      </w:r>
      <w:r>
        <w:rPr>
          <w:rFonts w:ascii="仿宋" w:hAnsi="仿宋" w:eastAsia="仿宋"/>
        </w:rPr>
        <w:t>应审查转让的合同是否有效和是否已履行，其权利是否有瑕疵，必要时还需审查转让方的权利是否有瑕疵。</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6 </w:t>
      </w:r>
      <w:r>
        <w:rPr>
          <w:rFonts w:ascii="仿宋" w:hAnsi="仿宋" w:eastAsia="仿宋"/>
        </w:rPr>
        <w:t>如果原告是商业秘密的被许可</w:t>
      </w:r>
      <w:r>
        <w:rPr>
          <w:rFonts w:hint="eastAsia" w:ascii="仿宋" w:hAnsi="仿宋" w:eastAsia="仿宋"/>
          <w:lang w:eastAsia="zh-Hans"/>
        </w:rPr>
        <w:t>人</w:t>
      </w:r>
      <w:r>
        <w:rPr>
          <w:rFonts w:ascii="仿宋" w:hAnsi="仿宋" w:eastAsia="仿宋"/>
        </w:rPr>
        <w:t>，</w:t>
      </w:r>
      <w:r>
        <w:rPr>
          <w:rFonts w:hint="eastAsia" w:ascii="仿宋" w:hAnsi="仿宋" w:eastAsia="仿宋"/>
        </w:rPr>
        <w:t>则</w:t>
      </w:r>
      <w:r>
        <w:rPr>
          <w:rFonts w:ascii="仿宋" w:hAnsi="仿宋" w:eastAsia="仿宋"/>
        </w:rPr>
        <w:t>应审查其是否取得了诉权。</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ascii="仿宋" w:hAnsi="仿宋" w:eastAsia="仿宋"/>
          <w:lang w:eastAsia="zh-Hans"/>
        </w:rPr>
        <w:t xml:space="preserve">7 </w:t>
      </w:r>
      <w:r>
        <w:rPr>
          <w:rFonts w:hint="eastAsia" w:ascii="仿宋" w:hAnsi="仿宋" w:eastAsia="仿宋"/>
        </w:rPr>
        <w:t>另外，还需审查被告的身份是否适格，审查被告是否</w:t>
      </w:r>
      <w:r>
        <w:rPr>
          <w:rFonts w:hint="eastAsia" w:ascii="仿宋" w:hAnsi="仿宋" w:eastAsia="仿宋"/>
          <w:lang w:eastAsia="zh-Hans"/>
        </w:rPr>
        <w:t>与本案具有利害关系，是否存在原告“虚列被告”的现象。</w:t>
      </w:r>
      <w:r>
        <w:rPr>
          <w:rFonts w:hint="eastAsia" w:ascii="仿宋" w:hAnsi="仿宋" w:eastAsia="仿宋"/>
        </w:rPr>
        <w:t>在有多个被告的情况下，还需要审查各个被告之间的关系。通常情况下，多个被告之间的关系一般有单位与单位负责人、单位与员工或者单位与关联公司。</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【是否符合商业秘密构成要件审查】</w:t>
      </w:r>
    </w:p>
    <w:p>
      <w:pPr>
        <w:tabs>
          <w:tab w:val="left" w:pos="709"/>
          <w:tab w:val="left" w:pos="851"/>
          <w:tab w:val="left" w:pos="1134"/>
        </w:tabs>
        <w:spacing w:line="312" w:lineRule="auto"/>
        <w:ind w:left="-2" w:firstLine="500"/>
        <w:rPr>
          <w:rFonts w:ascii="仿宋" w:hAnsi="仿宋" w:eastAsia="仿宋"/>
          <w:color w:val="000000" w:themeColor="text1"/>
          <w14:textFill>
            <w14:solidFill>
              <w14:schemeClr w14:val="tx1"/>
            </w14:solidFill>
          </w14:textFill>
        </w:rPr>
      </w:pPr>
      <w:r>
        <w:rPr>
          <w:rFonts w:hint="eastAsia" w:ascii="仿宋" w:hAnsi="仿宋" w:eastAsia="仿宋"/>
          <w:lang w:eastAsia="zh-Hans"/>
        </w:rPr>
        <w:t>审查</w:t>
      </w:r>
      <w:r>
        <w:rPr>
          <w:rFonts w:hint="eastAsia" w:ascii="仿宋" w:hAnsi="仿宋" w:eastAsia="仿宋"/>
        </w:rPr>
        <w:t>是否符合商业秘密构成要件应围绕《反不正当竞争法》规定的商业秘密“三性”进行审查</w:t>
      </w:r>
      <w:r>
        <w:rPr>
          <w:rFonts w:hint="eastAsia" w:ascii="仿宋" w:hAnsi="仿宋" w:eastAsia="仿宋"/>
          <w:color w:val="000000" w:themeColor="text1"/>
          <w14:textFill>
            <w14:solidFill>
              <w14:schemeClr w14:val="tx1"/>
            </w14:solidFill>
          </w14:textFill>
        </w:rPr>
        <w:t>，即秘密性、保密性、价值性。</w:t>
      </w:r>
    </w:p>
    <w:p>
      <w:pPr>
        <w:tabs>
          <w:tab w:val="left" w:pos="709"/>
          <w:tab w:val="left" w:pos="851"/>
          <w:tab w:val="left" w:pos="1134"/>
        </w:tabs>
        <w:spacing w:line="312" w:lineRule="auto"/>
        <w:ind w:left="-2" w:firstLine="500"/>
        <w:rPr>
          <w:rFonts w:ascii="仿宋" w:hAnsi="仿宋" w:eastAsia="仿宋"/>
        </w:rPr>
      </w:pPr>
      <w:r>
        <w:rPr>
          <w:rFonts w:ascii="仿宋" w:hAnsi="仿宋" w:eastAsia="仿宋"/>
          <w:color w:val="000000" w:themeColor="text1"/>
          <w14:textFill>
            <w14:solidFill>
              <w14:schemeClr w14:val="tx1"/>
            </w14:solidFill>
          </w14:textFill>
        </w:rPr>
        <w:t>39.2.1</w:t>
      </w:r>
      <w:bookmarkStart w:id="29" w:name="_Hlk98246273"/>
      <w:r>
        <w:rPr>
          <w:rFonts w:hint="eastAsia" w:ascii="仿宋" w:hAnsi="仿宋" w:eastAsia="仿宋"/>
          <w:color w:val="000000" w:themeColor="text1"/>
          <w14:textFill>
            <w14:solidFill>
              <w14:schemeClr w14:val="tx1"/>
            </w14:solidFill>
          </w14:textFill>
        </w:rPr>
        <w:t xml:space="preserve"> 【秘密性</w:t>
      </w:r>
      <w:r>
        <w:rPr>
          <w:rFonts w:hint="eastAsia" w:ascii="仿宋" w:hAnsi="仿宋" w:eastAsia="仿宋"/>
        </w:rPr>
        <w:t>审查</w:t>
      </w:r>
      <w:bookmarkEnd w:id="29"/>
      <w:r>
        <w:rPr>
          <w:rFonts w:hint="eastAsia" w:ascii="仿宋" w:hAnsi="仿宋" w:eastAsia="仿宋"/>
        </w:rPr>
        <w:t>】</w:t>
      </w:r>
    </w:p>
    <w:p>
      <w:pPr>
        <w:tabs>
          <w:tab w:val="left" w:pos="709"/>
          <w:tab w:val="left" w:pos="851"/>
          <w:tab w:val="left" w:pos="1134"/>
        </w:tabs>
        <w:spacing w:line="312" w:lineRule="auto"/>
        <w:ind w:left="-2" w:firstLine="480" w:firstLineChars="200"/>
        <w:rPr>
          <w:rFonts w:ascii="仿宋" w:hAnsi="仿宋" w:eastAsia="仿宋"/>
        </w:rPr>
      </w:pPr>
      <w:r>
        <w:rPr>
          <w:rFonts w:hint="eastAsia" w:ascii="仿宋" w:hAnsi="仿宋" w:eastAsia="仿宋"/>
        </w:rPr>
        <w:t>秘密性审查，也称非公知性审查，除考虑当事人陈述的商业秘密研发、实验过程以外，还应审查当事人是否已将相应技术方案申请专利，及专利文本公开内容与当事人涉诉商业秘密的关联性问题</w:t>
      </w:r>
      <w:r>
        <w:rPr>
          <w:rFonts w:hint="eastAsia" w:ascii="仿宋" w:hAnsi="仿宋" w:eastAsia="仿宋"/>
          <w:lang w:eastAsia="zh-Hans"/>
        </w:rPr>
        <w:t>。</w:t>
      </w:r>
      <w:r>
        <w:rPr>
          <w:rFonts w:hint="eastAsia" w:ascii="仿宋" w:hAnsi="仿宋" w:eastAsia="仿宋"/>
        </w:rPr>
        <w:t>审查非公知性的过程是引导和配合当事人总结和整理秘密点的过程，即将商业秘密载体记载的内容明确为具体的秘密点。对于技术秘密案件，可以协助当事人先行以整理总结的秘密点进行非公知性鉴定或科技查新</w:t>
      </w:r>
      <w:r>
        <w:rPr>
          <w:rFonts w:hint="eastAsia" w:ascii="仿宋" w:hAnsi="仿宋" w:eastAsia="仿宋"/>
          <w:lang w:eastAsia="zh-Hans"/>
        </w:rPr>
        <w:t>；对于</w:t>
      </w:r>
      <w:r>
        <w:rPr>
          <w:rFonts w:hint="eastAsia" w:ascii="仿宋" w:hAnsi="仿宋" w:eastAsia="仿宋"/>
        </w:rPr>
        <w:t>经营信息秘密案件，则应着重于符合法律规定的深度信息的总结和归纳。值得说明的是，在审查非公知性的同时，应排除《反不正当竞争法》及相关司法解释规定的不能构成商业秘密的信息，如通过观察、测绘即能够获得的技术信息、客户名称地址及其联系方式的经营信息等。</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2</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【保密性审查】</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保密性审查</w:t>
      </w:r>
      <w:r>
        <w:rPr>
          <w:rFonts w:hint="eastAsia" w:ascii="仿宋" w:hAnsi="仿宋" w:eastAsia="仿宋"/>
          <w:b/>
          <w:bCs/>
        </w:rPr>
        <w:t>，</w:t>
      </w:r>
      <w:r>
        <w:rPr>
          <w:rFonts w:hint="eastAsia" w:ascii="仿宋" w:hAnsi="仿宋" w:eastAsia="仿宋"/>
        </w:rPr>
        <w:t>主要围绕当事人提供的其采取的合理的保密措施的书证进行，如劳动合同的保密条款、保密协议、员工手册等，并结合其采取的物理隔离措施来综合确定当事人是否采用了合理的</w:t>
      </w:r>
      <w:r>
        <w:rPr>
          <w:rFonts w:hint="eastAsia" w:ascii="仿宋" w:hAnsi="仿宋" w:eastAsia="仿宋"/>
          <w:lang w:eastAsia="zh-Hans"/>
        </w:rPr>
        <w:t>、相应的</w:t>
      </w:r>
      <w:r>
        <w:rPr>
          <w:rFonts w:hint="eastAsia" w:ascii="仿宋" w:hAnsi="仿宋" w:eastAsia="仿宋"/>
        </w:rPr>
        <w:t>保密措施，审查过程中应注意保密条款的约定，应明确、具体且与当事人保密内容的价值及重要性相匹配，不应泛泛约定当事人具有保密义务。</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2</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【价值性审查】</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价值性审查</w:t>
      </w:r>
      <w:r>
        <w:rPr>
          <w:rFonts w:hint="eastAsia" w:ascii="仿宋" w:hAnsi="仿宋" w:eastAsia="仿宋"/>
        </w:rPr>
        <w:t>，主要围绕当事人主张的商业秘密给当事人的经营带来的价值，包括</w:t>
      </w:r>
      <w:r>
        <w:rPr>
          <w:rFonts w:hint="eastAsia" w:ascii="仿宋" w:hAnsi="仿宋" w:eastAsia="仿宋"/>
          <w:lang w:eastAsia="zh-Hans"/>
        </w:rPr>
        <w:t>既得</w:t>
      </w:r>
      <w:r>
        <w:rPr>
          <w:rFonts w:hint="eastAsia" w:ascii="仿宋" w:hAnsi="仿宋" w:eastAsia="仿宋"/>
        </w:rPr>
        <w:t>利益及与预期利益等。主要审查当事人因商业秘密获得的营业收入、业界荣誉等。</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【侵权行为】</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通常情况下，商业秘密侵权行为及实施具有一定的隐蔽性，被</w:t>
      </w:r>
      <w:r>
        <w:rPr>
          <w:rFonts w:hint="eastAsia" w:ascii="仿宋" w:hAnsi="仿宋" w:eastAsia="仿宋"/>
          <w:lang w:eastAsia="zh-Hans"/>
        </w:rPr>
        <w:t>诉</w:t>
      </w:r>
      <w:r>
        <w:rPr>
          <w:rFonts w:hint="eastAsia" w:ascii="仿宋" w:hAnsi="仿宋" w:eastAsia="仿宋"/>
        </w:rPr>
        <w:t>侵权人是否</w:t>
      </w:r>
      <w:r>
        <w:rPr>
          <w:rFonts w:hint="eastAsia" w:ascii="仿宋" w:hAnsi="仿宋" w:eastAsia="仿宋"/>
          <w:lang w:eastAsia="zh-Hans"/>
        </w:rPr>
        <w:t>实施了</w:t>
      </w:r>
      <w:r>
        <w:rPr>
          <w:rFonts w:hint="eastAsia" w:ascii="仿宋" w:hAnsi="仿宋" w:eastAsia="仿宋"/>
        </w:rPr>
        <w:t>侵权行为</w:t>
      </w:r>
      <w:r>
        <w:rPr>
          <w:rFonts w:hint="eastAsia" w:ascii="仿宋" w:hAnsi="仿宋" w:eastAsia="仿宋"/>
          <w:lang w:eastAsia="zh-Hans"/>
        </w:rPr>
        <w:t>基本</w:t>
      </w:r>
      <w:r>
        <w:rPr>
          <w:rFonts w:hint="eastAsia" w:ascii="仿宋" w:hAnsi="仿宋" w:eastAsia="仿宋"/>
        </w:rPr>
        <w:t>围绕当事人</w:t>
      </w:r>
      <w:r>
        <w:rPr>
          <w:rFonts w:hint="eastAsia" w:ascii="仿宋" w:hAnsi="仿宋" w:eastAsia="仿宋"/>
          <w:lang w:eastAsia="zh-Hans"/>
        </w:rPr>
        <w:t>的</w:t>
      </w:r>
      <w:r>
        <w:rPr>
          <w:rFonts w:hint="eastAsia" w:ascii="仿宋" w:hAnsi="仿宋" w:eastAsia="仿宋"/>
        </w:rPr>
        <w:t>自述</w:t>
      </w:r>
      <w:r>
        <w:rPr>
          <w:rFonts w:hint="eastAsia" w:ascii="仿宋" w:hAnsi="仿宋" w:eastAsia="仿宋"/>
          <w:lang w:eastAsia="zh-Hans"/>
        </w:rPr>
        <w:t>予以</w:t>
      </w:r>
      <w:r>
        <w:rPr>
          <w:rFonts w:hint="eastAsia" w:ascii="仿宋" w:hAnsi="仿宋" w:eastAsia="仿宋"/>
        </w:rPr>
        <w:t>初步确定，主要围绕被</w:t>
      </w:r>
      <w:r>
        <w:rPr>
          <w:rFonts w:hint="eastAsia" w:ascii="仿宋" w:hAnsi="仿宋" w:eastAsia="仿宋"/>
          <w:lang w:eastAsia="zh-Hans"/>
        </w:rPr>
        <w:t>诉</w:t>
      </w:r>
      <w:r>
        <w:rPr>
          <w:rFonts w:hint="eastAsia" w:ascii="仿宋" w:hAnsi="仿宋" w:eastAsia="仿宋"/>
        </w:rPr>
        <w:t>侵权的单位及个人是否</w:t>
      </w:r>
      <w:r>
        <w:rPr>
          <w:rFonts w:hint="eastAsia" w:ascii="仿宋" w:hAnsi="仿宋" w:eastAsia="仿宋"/>
          <w:lang w:eastAsia="zh-Hans"/>
        </w:rPr>
        <w:t>实施了</w:t>
      </w:r>
      <w:r>
        <w:rPr>
          <w:rFonts w:hint="eastAsia" w:ascii="仿宋" w:hAnsi="仿宋" w:eastAsia="仿宋"/>
        </w:rPr>
        <w:t>《反不正当竞争法》规定的侵权行为展开，具体侵权行为类型可依据《反不正当竞争法》及其相关司法解释确定，审查是否</w:t>
      </w:r>
      <w:r>
        <w:rPr>
          <w:rFonts w:hint="eastAsia" w:ascii="仿宋" w:hAnsi="仿宋" w:eastAsia="仿宋"/>
          <w:lang w:eastAsia="zh-Hans"/>
        </w:rPr>
        <w:t>实施</w:t>
      </w:r>
      <w:r>
        <w:rPr>
          <w:rFonts w:hint="eastAsia" w:ascii="仿宋" w:hAnsi="仿宋" w:eastAsia="仿宋"/>
        </w:rPr>
        <w:t>侵权行为应结合被</w:t>
      </w:r>
      <w:r>
        <w:rPr>
          <w:rFonts w:hint="eastAsia" w:ascii="仿宋" w:hAnsi="仿宋" w:eastAsia="仿宋"/>
          <w:lang w:eastAsia="zh-Hans"/>
        </w:rPr>
        <w:t>诉</w:t>
      </w:r>
      <w:r>
        <w:rPr>
          <w:rFonts w:hint="eastAsia" w:ascii="仿宋" w:hAnsi="仿宋" w:eastAsia="仿宋"/>
        </w:rPr>
        <w:t>侵权人是否接触或者有机会接触涉案商业秘密及接触类证据展开。</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39</w:t>
      </w:r>
      <w:r>
        <w:rPr>
          <w:rFonts w:hint="eastAsia" w:ascii="仿宋" w:hAnsi="仿宋" w:eastAsia="仿宋"/>
          <w:lang w:eastAsia="zh-Hans"/>
        </w:rPr>
        <w:t>.</w:t>
      </w:r>
      <w:r>
        <w:rPr>
          <w:rFonts w:ascii="仿宋" w:hAnsi="仿宋" w:eastAsia="仿宋"/>
          <w:lang w:eastAsia="zh-Hans"/>
        </w:rPr>
        <w:t>4</w:t>
      </w:r>
      <w:r>
        <w:rPr>
          <w:rFonts w:ascii="仿宋" w:hAnsi="仿宋" w:eastAsia="仿宋"/>
        </w:rPr>
        <w:t xml:space="preserve"> 【</w:t>
      </w:r>
      <w:r>
        <w:rPr>
          <w:rFonts w:hint="eastAsia" w:ascii="仿宋" w:hAnsi="仿宋" w:eastAsia="仿宋"/>
        </w:rPr>
        <w:t>商业秘密的同一性】</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判断商业秘密侵权需符合</w:t>
      </w:r>
      <w:r>
        <w:rPr>
          <w:rFonts w:hint="eastAsia" w:ascii="仿宋" w:hAnsi="仿宋" w:eastAsia="仿宋"/>
          <w:lang w:eastAsia="zh-Hans"/>
        </w:rPr>
        <w:t>被诉</w:t>
      </w:r>
      <w:r>
        <w:rPr>
          <w:rFonts w:hint="eastAsia" w:ascii="仿宋" w:hAnsi="仿宋" w:eastAsia="仿宋"/>
        </w:rPr>
        <w:t>侵权行为获取、使用的信息与权利人的商业秘密进行对比有实质相似性，即“同一性”</w:t>
      </w:r>
      <w:r>
        <w:rPr>
          <w:rFonts w:hint="eastAsia" w:ascii="仿宋" w:hAnsi="仿宋" w:eastAsia="仿宋"/>
          <w:lang w:eastAsia="zh-Hans"/>
        </w:rPr>
        <w:t>。</w:t>
      </w:r>
      <w:r>
        <w:rPr>
          <w:rFonts w:hint="eastAsia" w:ascii="仿宋" w:hAnsi="仿宋" w:eastAsia="仿宋"/>
        </w:rPr>
        <w:t>通常而言在当事人委托阶段，鉴于尚未实质开展有效的侵权行为取证工作，判断过程具有一定的局限性，常见的判断方式主要有：</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lang w:eastAsia="zh-Hans"/>
        </w:rPr>
        <w:t>）</w:t>
      </w:r>
      <w:r>
        <w:rPr>
          <w:rFonts w:hint="eastAsia" w:ascii="仿宋" w:hAnsi="仿宋" w:eastAsia="仿宋"/>
        </w:rPr>
        <w:t>被</w:t>
      </w:r>
      <w:r>
        <w:rPr>
          <w:rFonts w:hint="eastAsia" w:ascii="仿宋" w:hAnsi="仿宋" w:eastAsia="仿宋"/>
          <w:lang w:eastAsia="zh-Hans"/>
        </w:rPr>
        <w:t>诉</w:t>
      </w:r>
      <w:r>
        <w:rPr>
          <w:rFonts w:hint="eastAsia" w:ascii="仿宋" w:hAnsi="仿宋" w:eastAsia="仿宋"/>
        </w:rPr>
        <w:t>侵权主体将当事人商业秘密申请专利的，以当事人在专利申请日前的保密信息与专利文本公开的技术方案内容对比确定是否符合同一性标准；</w:t>
      </w:r>
      <w:r>
        <w:rPr>
          <w:rFonts w:hint="eastAsia" w:ascii="仿宋" w:hAnsi="仿宋" w:eastAsia="仿宋"/>
          <w:lang w:eastAsia="zh-Hans"/>
        </w:rPr>
        <w:t>（</w:t>
      </w:r>
      <w:r>
        <w:rPr>
          <w:rFonts w:ascii="仿宋" w:hAnsi="仿宋" w:eastAsia="仿宋"/>
          <w:lang w:eastAsia="zh-Hans"/>
        </w:rPr>
        <w:t>2</w:t>
      </w:r>
      <w:r>
        <w:rPr>
          <w:rFonts w:hint="eastAsia" w:ascii="仿宋" w:hAnsi="仿宋" w:eastAsia="仿宋"/>
          <w:lang w:eastAsia="zh-Hans"/>
        </w:rPr>
        <w:t>）</w:t>
      </w:r>
      <w:r>
        <w:rPr>
          <w:rFonts w:hint="eastAsia" w:ascii="仿宋" w:hAnsi="仿宋" w:eastAsia="仿宋"/>
        </w:rPr>
        <w:t>被</w:t>
      </w:r>
      <w:r>
        <w:rPr>
          <w:rFonts w:hint="eastAsia" w:ascii="仿宋" w:hAnsi="仿宋" w:eastAsia="仿宋"/>
          <w:lang w:eastAsia="zh-Hans"/>
        </w:rPr>
        <w:t>诉</w:t>
      </w:r>
      <w:r>
        <w:rPr>
          <w:rFonts w:hint="eastAsia" w:ascii="仿宋" w:hAnsi="仿宋" w:eastAsia="仿宋"/>
        </w:rPr>
        <w:t>侵权人通过数据传输、电子侵入方式获取商业秘密的，以其获取的内容与当事人的保密信息对比确定是否符合同一性标准；</w:t>
      </w:r>
      <w:r>
        <w:rPr>
          <w:rFonts w:hint="eastAsia" w:ascii="仿宋" w:hAnsi="仿宋" w:eastAsia="仿宋"/>
          <w:lang w:eastAsia="zh-Hans"/>
        </w:rPr>
        <w:t>（</w:t>
      </w:r>
      <w:r>
        <w:rPr>
          <w:rFonts w:ascii="仿宋" w:hAnsi="仿宋" w:eastAsia="仿宋"/>
          <w:lang w:eastAsia="zh-Hans"/>
        </w:rPr>
        <w:t>3</w:t>
      </w:r>
      <w:r>
        <w:rPr>
          <w:rFonts w:hint="eastAsia" w:ascii="仿宋" w:hAnsi="仿宋" w:eastAsia="仿宋"/>
          <w:lang w:eastAsia="zh-Hans"/>
        </w:rPr>
        <w:t>）</w:t>
      </w:r>
      <w:r>
        <w:rPr>
          <w:rFonts w:hint="eastAsia" w:ascii="仿宋" w:hAnsi="仿宋" w:eastAsia="仿宋"/>
        </w:rPr>
        <w:t>被</w:t>
      </w:r>
      <w:r>
        <w:rPr>
          <w:rFonts w:hint="eastAsia" w:ascii="仿宋" w:hAnsi="仿宋" w:eastAsia="仿宋"/>
          <w:lang w:eastAsia="zh-Hans"/>
        </w:rPr>
        <w:t>诉</w:t>
      </w:r>
      <w:r>
        <w:rPr>
          <w:rFonts w:hint="eastAsia" w:ascii="仿宋" w:hAnsi="仿宋" w:eastAsia="仿宋"/>
        </w:rPr>
        <w:t>侵权人使用当事人商业秘密进行产品销售的，购买该产品进行相应对比或反向推导等方式初步确定同一性问题。</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lang w:eastAsia="zh-Hans"/>
        </w:rPr>
        <w:t>第</w:t>
      </w:r>
      <w:r>
        <w:rPr>
          <w:rFonts w:ascii="仿宋" w:hAnsi="仿宋" w:eastAsia="仿宋"/>
          <w:b/>
          <w:bCs/>
          <w:lang w:eastAsia="zh-Hans"/>
        </w:rPr>
        <w:t>40</w:t>
      </w:r>
      <w:r>
        <w:rPr>
          <w:rFonts w:hint="eastAsia" w:ascii="仿宋" w:hAnsi="仿宋" w:eastAsia="仿宋"/>
          <w:b/>
          <w:bCs/>
          <w:lang w:eastAsia="zh-Hans"/>
        </w:rPr>
        <w:t>条</w:t>
      </w:r>
      <w:r>
        <w:rPr>
          <w:rFonts w:ascii="仿宋" w:hAnsi="仿宋" w:eastAsia="仿宋"/>
          <w:b/>
          <w:bCs/>
          <w:lang w:eastAsia="zh-Hans"/>
        </w:rPr>
        <w:t xml:space="preserve"> 【</w:t>
      </w:r>
      <w:r>
        <w:rPr>
          <w:rFonts w:hint="eastAsia" w:ascii="仿宋" w:hAnsi="仿宋" w:eastAsia="仿宋"/>
          <w:b/>
          <w:bCs/>
        </w:rPr>
        <w:t>其他</w:t>
      </w:r>
      <w:r>
        <w:rPr>
          <w:rFonts w:ascii="仿宋" w:hAnsi="仿宋" w:eastAsia="仿宋"/>
          <w:b/>
          <w:bCs/>
        </w:rPr>
        <w:t>案件事实了解】</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40</w:t>
      </w:r>
      <w:r>
        <w:rPr>
          <w:rFonts w:hint="eastAsia" w:ascii="仿宋" w:hAnsi="仿宋" w:eastAsia="仿宋"/>
          <w:lang w:eastAsia="zh-Hans"/>
        </w:rPr>
        <w:t>.</w:t>
      </w:r>
      <w:r>
        <w:rPr>
          <w:rFonts w:ascii="仿宋" w:hAnsi="仿宋" w:eastAsia="仿宋"/>
          <w:lang w:eastAsia="zh-Hans"/>
        </w:rPr>
        <w:t xml:space="preserve">1 </w:t>
      </w:r>
      <w:r>
        <w:rPr>
          <w:rFonts w:ascii="仿宋" w:hAnsi="仿宋" w:eastAsia="仿宋"/>
        </w:rPr>
        <w:t>承办律师在与客户会面时，应全面调查了解案件的事实情况，</w:t>
      </w:r>
      <w:r>
        <w:rPr>
          <w:rFonts w:hint="eastAsia" w:ascii="仿宋" w:hAnsi="仿宋" w:eastAsia="仿宋"/>
        </w:rPr>
        <w:t>并</w:t>
      </w:r>
      <w:r>
        <w:rPr>
          <w:rFonts w:ascii="仿宋" w:hAnsi="仿宋" w:eastAsia="仿宋"/>
        </w:rPr>
        <w:t>引导客户全面陈述事实，尤其是与争议具有关联性的事实，进而概括出案情脉络、双方观点、争议焦点。不明确的问</w:t>
      </w:r>
      <w:r>
        <w:rPr>
          <w:rFonts w:hint="eastAsia" w:ascii="仿宋" w:hAnsi="仿宋" w:eastAsia="仿宋"/>
        </w:rPr>
        <w:t>题</w:t>
      </w:r>
      <w:r>
        <w:rPr>
          <w:rFonts w:ascii="仿宋" w:hAnsi="仿宋" w:eastAsia="仿宋"/>
        </w:rPr>
        <w:t>请客户</w:t>
      </w:r>
      <w:r>
        <w:rPr>
          <w:rFonts w:hint="eastAsia" w:ascii="仿宋" w:hAnsi="仿宋" w:eastAsia="仿宋"/>
        </w:rPr>
        <w:t>作进一步明确</w:t>
      </w:r>
      <w:r>
        <w:rPr>
          <w:rFonts w:ascii="仿宋" w:hAnsi="仿宋" w:eastAsia="仿宋"/>
        </w:rPr>
        <w:t>，也可以在事前及事后提供详细的问题清单，对一些细节问题进行集中提问，并询问客户是否能提供相关的书面证据</w:t>
      </w:r>
      <w:r>
        <w:rPr>
          <w:rFonts w:hint="eastAsia" w:ascii="仿宋" w:hAnsi="仿宋" w:eastAsia="仿宋"/>
        </w:rPr>
        <w:t>，以证明相关事实</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40</w:t>
      </w:r>
      <w:r>
        <w:rPr>
          <w:rFonts w:hint="eastAsia" w:ascii="仿宋" w:hAnsi="仿宋" w:eastAsia="仿宋"/>
          <w:lang w:eastAsia="zh-Hans"/>
        </w:rPr>
        <w:t>.</w:t>
      </w:r>
      <w:r>
        <w:rPr>
          <w:rFonts w:ascii="仿宋" w:hAnsi="仿宋" w:eastAsia="仿宋"/>
          <w:lang w:eastAsia="zh-Hans"/>
        </w:rPr>
        <w:t xml:space="preserve">2 </w:t>
      </w:r>
      <w:r>
        <w:rPr>
          <w:rFonts w:ascii="仿宋" w:hAnsi="仿宋" w:eastAsia="仿宋"/>
        </w:rPr>
        <w:t>向相关人员调查了解情况，包括但不限于纠纷发生的背景和原因、纠纷发生的具体情况、纠纷的处理</w:t>
      </w:r>
      <w:r>
        <w:rPr>
          <w:rFonts w:hint="eastAsia" w:ascii="仿宋" w:hAnsi="仿宋" w:eastAsia="仿宋"/>
        </w:rPr>
        <w:t>等情况</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40</w:t>
      </w:r>
      <w:r>
        <w:rPr>
          <w:rFonts w:hint="eastAsia" w:ascii="仿宋" w:hAnsi="仿宋" w:eastAsia="仿宋"/>
          <w:lang w:eastAsia="zh-Hans"/>
        </w:rPr>
        <w:t>.</w:t>
      </w:r>
      <w:r>
        <w:rPr>
          <w:rFonts w:ascii="仿宋" w:hAnsi="仿宋" w:eastAsia="仿宋"/>
          <w:lang w:eastAsia="zh-Hans"/>
        </w:rPr>
        <w:t xml:space="preserve">3 </w:t>
      </w:r>
      <w:r>
        <w:rPr>
          <w:rFonts w:ascii="仿宋" w:hAnsi="仿宋" w:eastAsia="仿宋"/>
        </w:rPr>
        <w:t>在公司内部收集、调查相关书面材料，包括但不限于相关合同、公司章程、公司决议、公司相关批准文件、会议纪要、备忘录、往来函件（包括传真、邮件及电子邮件）、电话记录以及与纠纷相关的其他书面文件。</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40</w:t>
      </w:r>
      <w:r>
        <w:rPr>
          <w:rFonts w:hint="eastAsia" w:ascii="仿宋" w:hAnsi="仿宋" w:eastAsia="仿宋"/>
          <w:lang w:eastAsia="zh-Hans"/>
        </w:rPr>
        <w:t>.</w:t>
      </w:r>
      <w:r>
        <w:rPr>
          <w:rFonts w:ascii="仿宋" w:hAnsi="仿宋" w:eastAsia="仿宋"/>
          <w:lang w:eastAsia="zh-Hans"/>
        </w:rPr>
        <w:t xml:space="preserve">4 </w:t>
      </w:r>
      <w:r>
        <w:rPr>
          <w:rFonts w:ascii="仿宋" w:hAnsi="仿宋" w:eastAsia="仿宋"/>
        </w:rPr>
        <w:t>对</w:t>
      </w:r>
      <w:r>
        <w:rPr>
          <w:rFonts w:hint="eastAsia" w:ascii="仿宋" w:hAnsi="仿宋" w:eastAsia="仿宋"/>
        </w:rPr>
        <w:t>于</w:t>
      </w:r>
      <w:r>
        <w:rPr>
          <w:rFonts w:ascii="仿宋" w:hAnsi="仿宋" w:eastAsia="仿宋"/>
        </w:rPr>
        <w:t>能证明某种</w:t>
      </w:r>
      <w:r>
        <w:rPr>
          <w:rFonts w:hint="eastAsia" w:ascii="仿宋" w:hAnsi="仿宋" w:eastAsia="仿宋"/>
        </w:rPr>
        <w:t>涉案</w:t>
      </w:r>
      <w:r>
        <w:rPr>
          <w:rFonts w:ascii="仿宋" w:hAnsi="仿宋" w:eastAsia="仿宋"/>
        </w:rPr>
        <w:t>法律事实的网页信息、向对方发送函件的过程及函件内容、对方的侵权行为</w:t>
      </w:r>
      <w:r>
        <w:rPr>
          <w:rFonts w:hint="eastAsia" w:ascii="仿宋" w:hAnsi="仿宋" w:eastAsia="仿宋"/>
        </w:rPr>
        <w:t>证据，以及涉及相关</w:t>
      </w:r>
      <w:r>
        <w:rPr>
          <w:rFonts w:ascii="仿宋" w:hAnsi="仿宋" w:eastAsia="仿宋"/>
        </w:rPr>
        <w:t>证据</w:t>
      </w:r>
      <w:r>
        <w:rPr>
          <w:rFonts w:hint="eastAsia" w:ascii="仿宋" w:hAnsi="仿宋" w:eastAsia="仿宋"/>
        </w:rPr>
        <w:t>本身</w:t>
      </w:r>
      <w:r>
        <w:rPr>
          <w:rFonts w:ascii="仿宋" w:hAnsi="仿宋" w:eastAsia="仿宋"/>
        </w:rPr>
        <w:t>的真实性、合法性的证据，律师应建议客户委托公证机关</w:t>
      </w:r>
      <w:r>
        <w:rPr>
          <w:rFonts w:hint="eastAsia" w:ascii="仿宋" w:hAnsi="仿宋" w:eastAsia="仿宋"/>
        </w:rPr>
        <w:t>进行</w:t>
      </w:r>
      <w:r>
        <w:rPr>
          <w:rFonts w:ascii="仿宋" w:hAnsi="仿宋" w:eastAsia="仿宋"/>
        </w:rPr>
        <w:t>公证</w:t>
      </w:r>
      <w:r>
        <w:rPr>
          <w:rFonts w:hint="eastAsia" w:ascii="仿宋" w:hAnsi="仿宋" w:eastAsia="仿宋"/>
        </w:rPr>
        <w:t>固定证据。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40</w:t>
      </w:r>
      <w:r>
        <w:rPr>
          <w:rFonts w:hint="eastAsia" w:ascii="仿宋" w:hAnsi="仿宋" w:eastAsia="仿宋"/>
          <w:lang w:eastAsia="zh-Hans"/>
        </w:rPr>
        <w:t>.</w:t>
      </w:r>
      <w:r>
        <w:rPr>
          <w:rFonts w:ascii="仿宋" w:hAnsi="仿宋" w:eastAsia="仿宋"/>
          <w:lang w:eastAsia="zh-Hans"/>
        </w:rPr>
        <w:t xml:space="preserve">5 </w:t>
      </w:r>
      <w:r>
        <w:rPr>
          <w:rFonts w:hint="eastAsia" w:ascii="仿宋" w:hAnsi="仿宋" w:eastAsia="仿宋"/>
        </w:rPr>
        <w:t>在会面后，应当及时</w:t>
      </w:r>
      <w:r>
        <w:rPr>
          <w:rFonts w:ascii="仿宋" w:hAnsi="仿宋" w:eastAsia="仿宋"/>
        </w:rPr>
        <w:t>整理客户陈述和回答的</w:t>
      </w:r>
      <w:r>
        <w:rPr>
          <w:rFonts w:hint="eastAsia" w:ascii="仿宋" w:hAnsi="仿宋" w:eastAsia="仿宋"/>
        </w:rPr>
        <w:t>内容</w:t>
      </w:r>
      <w:r>
        <w:rPr>
          <w:rFonts w:ascii="仿宋" w:hAnsi="仿宋" w:eastAsia="仿宋"/>
        </w:rPr>
        <w:t>，做好会谈笔录，笔录要准确、全面，基本能概括法律关系所涉及的全部内容</w:t>
      </w:r>
      <w:r>
        <w:rPr>
          <w:rFonts w:hint="eastAsia" w:ascii="仿宋" w:hAnsi="仿宋" w:eastAsia="仿宋"/>
        </w:rPr>
        <w:t>，在此基础上，</w:t>
      </w:r>
      <w:r>
        <w:rPr>
          <w:rFonts w:ascii="仿宋" w:hAnsi="仿宋" w:eastAsia="仿宋"/>
        </w:rPr>
        <w:t>编制案卷目录，建立案件档案。</w:t>
      </w:r>
    </w:p>
    <w:p>
      <w:pPr>
        <w:pStyle w:val="3"/>
        <w:spacing w:after="0" w:line="312" w:lineRule="auto"/>
        <w:jc w:val="center"/>
        <w:rPr>
          <w:sz w:val="28"/>
          <w:szCs w:val="28"/>
        </w:rPr>
      </w:pPr>
      <w:bookmarkStart w:id="30" w:name="_Toc122294626"/>
      <w:r>
        <w:rPr>
          <w:rFonts w:hint="eastAsia"/>
          <w:sz w:val="28"/>
          <w:szCs w:val="28"/>
        </w:rPr>
        <w:t>第二节 商业秘密案件的管辖</w:t>
      </w:r>
      <w:bookmarkEnd w:id="30"/>
    </w:p>
    <w:p>
      <w:pPr>
        <w:tabs>
          <w:tab w:val="left" w:pos="709"/>
          <w:tab w:val="left" w:pos="851"/>
          <w:tab w:val="left" w:pos="1134"/>
        </w:tabs>
        <w:spacing w:line="312" w:lineRule="auto"/>
        <w:ind w:left="-2" w:firstLine="482" w:firstLineChars="200"/>
        <w:rPr>
          <w:rFonts w:ascii="仿宋" w:hAnsi="仿宋" w:eastAsia="仿宋"/>
          <w:b/>
          <w:bCs/>
        </w:rPr>
      </w:pPr>
      <w:r>
        <w:rPr>
          <w:rFonts w:hint="eastAsia" w:ascii="仿宋" w:hAnsi="仿宋" w:eastAsia="仿宋"/>
          <w:b/>
          <w:bCs/>
          <w:lang w:eastAsia="zh-Hans"/>
        </w:rPr>
        <w:t>第</w:t>
      </w:r>
      <w:r>
        <w:rPr>
          <w:rFonts w:ascii="仿宋" w:hAnsi="仿宋" w:eastAsia="仿宋"/>
          <w:b/>
          <w:bCs/>
          <w:lang w:eastAsia="zh-Hans"/>
        </w:rPr>
        <w:t>41</w:t>
      </w:r>
      <w:r>
        <w:rPr>
          <w:rFonts w:hint="eastAsia" w:ascii="仿宋" w:hAnsi="仿宋" w:eastAsia="仿宋"/>
          <w:b/>
          <w:bCs/>
          <w:lang w:eastAsia="zh-Hans"/>
        </w:rPr>
        <w:t>条</w:t>
      </w:r>
      <w:r>
        <w:rPr>
          <w:rFonts w:ascii="仿宋" w:hAnsi="仿宋" w:eastAsia="仿宋"/>
          <w:b/>
          <w:bCs/>
          <w:lang w:eastAsia="zh-Hans"/>
        </w:rPr>
        <w:t xml:space="preserve"> 【</w:t>
      </w:r>
      <w:r>
        <w:rPr>
          <w:rFonts w:hint="eastAsia" w:ascii="仿宋" w:hAnsi="仿宋" w:eastAsia="仿宋"/>
          <w:b/>
          <w:bCs/>
        </w:rPr>
        <w:t>管辖法院的确定（</w:t>
      </w:r>
      <w:r>
        <w:rPr>
          <w:rFonts w:ascii="仿宋" w:hAnsi="仿宋" w:eastAsia="仿宋"/>
          <w:b/>
          <w:bCs/>
        </w:rPr>
        <w:t>原告</w:t>
      </w:r>
      <w:r>
        <w:rPr>
          <w:rFonts w:hint="eastAsia" w:ascii="仿宋" w:hAnsi="仿宋" w:eastAsia="仿宋"/>
          <w:b/>
          <w:bCs/>
        </w:rPr>
        <w:t>）</w:t>
      </w:r>
      <w:r>
        <w:rPr>
          <w:rFonts w:ascii="仿宋" w:hAnsi="仿宋" w:eastAsia="仿宋"/>
          <w:b/>
          <w:bCs/>
        </w:rPr>
        <w:t>】</w:t>
      </w:r>
    </w:p>
    <w:p>
      <w:pPr>
        <w:tabs>
          <w:tab w:val="left" w:pos="709"/>
          <w:tab w:val="left" w:pos="851"/>
          <w:tab w:val="left" w:pos="1134"/>
        </w:tabs>
        <w:spacing w:line="312" w:lineRule="auto"/>
        <w:ind w:left="-2" w:firstLine="480" w:firstLineChars="200"/>
        <w:rPr>
          <w:rFonts w:ascii="仿宋" w:hAnsi="仿宋" w:eastAsia="仿宋"/>
          <w:b/>
          <w:bCs/>
        </w:rPr>
      </w:pPr>
      <w:r>
        <w:rPr>
          <w:rFonts w:hint="eastAsia" w:ascii="仿宋" w:hAnsi="仿宋" w:eastAsia="仿宋"/>
        </w:rPr>
        <w:t>确定商业秘密案件的管辖，需从两个层面考量，一是地域管辖，二是级别管辖。</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41</w:t>
      </w:r>
      <w:r>
        <w:rPr>
          <w:rFonts w:hint="eastAsia" w:ascii="仿宋" w:hAnsi="仿宋" w:eastAsia="仿宋"/>
          <w:lang w:eastAsia="zh-Hans"/>
        </w:rPr>
        <w:t>.</w:t>
      </w:r>
      <w:r>
        <w:rPr>
          <w:rFonts w:ascii="仿宋" w:hAnsi="仿宋" w:eastAsia="仿宋"/>
          <w:lang w:eastAsia="zh-Hans"/>
        </w:rPr>
        <w:t>1</w:t>
      </w:r>
      <w:bookmarkStart w:id="31" w:name="_Hlk98248259"/>
      <w:r>
        <w:rPr>
          <w:rFonts w:hint="eastAsia" w:ascii="仿宋" w:hAnsi="仿宋" w:eastAsia="仿宋"/>
        </w:rPr>
        <w:t xml:space="preserve"> 【地域管辖</w:t>
      </w:r>
      <w:bookmarkEnd w:id="31"/>
      <w:r>
        <w:rPr>
          <w:rFonts w:hint="eastAsia"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根据《民事诉讼法》规定，因侵权行为提起的诉讼，由侵权行为地或被告住所地人民法院管辖，根据相关司法解释的规定，侵权行为地包括侵权行为实施地、侵权结果发生地。</w:t>
      </w:r>
    </w:p>
    <w:p>
      <w:pPr>
        <w:tabs>
          <w:tab w:val="left" w:pos="709"/>
          <w:tab w:val="left" w:pos="851"/>
          <w:tab w:val="left" w:pos="1134"/>
        </w:tabs>
        <w:spacing w:line="312" w:lineRule="auto"/>
        <w:ind w:left="-2" w:firstLine="500"/>
        <w:rPr>
          <w:rFonts w:ascii="仿宋" w:hAnsi="仿宋" w:eastAsia="仿宋"/>
          <w:lang w:eastAsia="zh-Hans"/>
        </w:rPr>
      </w:pPr>
      <w:r>
        <w:rPr>
          <w:rFonts w:ascii="仿宋" w:hAnsi="仿宋" w:eastAsia="仿宋"/>
        </w:rPr>
        <w:t>41</w:t>
      </w:r>
      <w:r>
        <w:rPr>
          <w:rFonts w:hint="eastAsia" w:ascii="仿宋" w:hAnsi="仿宋" w:eastAsia="仿宋"/>
          <w:lang w:eastAsia="zh-Hans"/>
        </w:rPr>
        <w:t>.</w:t>
      </w:r>
      <w:r>
        <w:rPr>
          <w:rFonts w:ascii="仿宋" w:hAnsi="仿宋" w:eastAsia="仿宋"/>
          <w:lang w:eastAsia="zh-Hans"/>
        </w:rPr>
        <w:t>2 【</w:t>
      </w:r>
      <w:r>
        <w:rPr>
          <w:rFonts w:hint="eastAsia" w:ascii="仿宋" w:hAnsi="仿宋" w:eastAsia="仿宋"/>
          <w:lang w:eastAsia="zh-Hans"/>
        </w:rPr>
        <w:t>级别管辖】</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根据上述规则，对于侵害商业秘密纠纷案件的地域管辖，应按一般侵权案件确定管辖，逐一结合《反不正当竞争法》第</w:t>
      </w:r>
      <w:r>
        <w:rPr>
          <w:rFonts w:hint="eastAsia" w:ascii="仿宋" w:hAnsi="仿宋" w:eastAsia="仿宋"/>
          <w:lang w:eastAsia="zh-Hans"/>
        </w:rPr>
        <w:t>九</w:t>
      </w:r>
      <w:r>
        <w:rPr>
          <w:rFonts w:hint="eastAsia" w:ascii="仿宋" w:hAnsi="仿宋" w:eastAsia="仿宋"/>
        </w:rPr>
        <w:t>条</w:t>
      </w:r>
      <w:r>
        <w:rPr>
          <w:rFonts w:hint="eastAsia" w:ascii="仿宋" w:hAnsi="仿宋" w:eastAsia="仿宋"/>
          <w:lang w:eastAsia="zh-Hans"/>
        </w:rPr>
        <w:t>第</w:t>
      </w:r>
      <w:r>
        <w:rPr>
          <w:rFonts w:hint="eastAsia" w:ascii="仿宋" w:hAnsi="仿宋" w:eastAsia="仿宋"/>
        </w:rPr>
        <w:t>一款规定的侵权行为模式可知，商业秘密侵权行为实施地往往并不单一，由此导致存在多个侵权行为实施地，存在多个法院对案件均有管辖权的情形。二是级别管辖，</w:t>
      </w:r>
      <w:r>
        <w:rPr>
          <w:rFonts w:hint="eastAsia" w:ascii="仿宋" w:hAnsi="仿宋" w:eastAsia="仿宋"/>
          <w:lang w:eastAsia="zh-Hans"/>
        </w:rPr>
        <w:t>根据最高人民法院的司法文件，</w:t>
      </w:r>
      <w:r>
        <w:rPr>
          <w:rFonts w:hint="eastAsia" w:ascii="仿宋" w:hAnsi="仿宋" w:eastAsia="仿宋"/>
        </w:rPr>
        <w:t>以及各地法院基于上述最高人民法院文件制订的相关文件</w:t>
      </w:r>
      <w:r>
        <w:rPr>
          <w:rFonts w:hint="eastAsia" w:ascii="仿宋" w:hAnsi="仿宋" w:eastAsia="仿宋"/>
          <w:lang w:eastAsia="zh-Hans"/>
        </w:rPr>
        <w:t>确定。侵害技术信息的案件，属于技术类知识产权民事案件，侵害经营信息的案件，属于普通的知识产权民事案件，两者管辖法院并不相同，这尤其要引起注意。</w:t>
      </w:r>
      <w:r>
        <w:rPr>
          <w:rFonts w:hint="eastAsia" w:ascii="仿宋" w:hAnsi="仿宋" w:eastAsia="仿宋"/>
        </w:rPr>
        <w:t>目前</w:t>
      </w:r>
      <w:r>
        <w:rPr>
          <w:rFonts w:hint="eastAsia" w:ascii="仿宋" w:hAnsi="仿宋" w:eastAsia="仿宋"/>
          <w:lang w:eastAsia="zh-Hans"/>
        </w:rPr>
        <w:t>，</w:t>
      </w:r>
      <w:r>
        <w:rPr>
          <w:rFonts w:hint="eastAsia" w:ascii="仿宋" w:hAnsi="仿宋" w:eastAsia="仿宋"/>
        </w:rPr>
        <w:t>各地知识产权法庭着眼于</w:t>
      </w:r>
      <w:r>
        <w:rPr>
          <w:rFonts w:hint="eastAsia" w:ascii="仿宋" w:hAnsi="仿宋" w:eastAsia="仿宋"/>
          <w:lang w:eastAsia="zh-Hans"/>
        </w:rPr>
        <w:t>技术类知识产权案件的</w:t>
      </w:r>
      <w:r>
        <w:rPr>
          <w:rFonts w:hint="eastAsia" w:ascii="仿宋" w:hAnsi="仿宋" w:eastAsia="仿宋"/>
        </w:rPr>
        <w:t>集中管辖，对级别管辖未统一作出规定，</w:t>
      </w:r>
      <w:r>
        <w:rPr>
          <w:rFonts w:hint="eastAsia" w:ascii="仿宋" w:hAnsi="仿宋" w:eastAsia="仿宋"/>
          <w:lang w:eastAsia="zh-Hans"/>
        </w:rPr>
        <w:t>故接受当事人委托选择具有管辖权人民法院起诉时</w:t>
      </w:r>
      <w:r>
        <w:rPr>
          <w:rFonts w:hint="eastAsia" w:ascii="仿宋" w:hAnsi="仿宋" w:eastAsia="仿宋"/>
        </w:rPr>
        <w:t>，应对照相应省份的相关规定，以确定相应具有管辖</w:t>
      </w:r>
      <w:r>
        <w:rPr>
          <w:rFonts w:hint="eastAsia" w:ascii="仿宋" w:hAnsi="仿宋" w:eastAsia="仿宋"/>
          <w:lang w:eastAsia="zh-Hans"/>
        </w:rPr>
        <w:t>权</w:t>
      </w:r>
      <w:r>
        <w:rPr>
          <w:rFonts w:hint="eastAsia" w:ascii="仿宋" w:hAnsi="仿宋" w:eastAsia="仿宋"/>
        </w:rPr>
        <w:t>的人民法院起诉。</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sz w:val="28"/>
          <w:szCs w:val="28"/>
          <w:lang w:eastAsia="zh-Hans"/>
        </w:rPr>
        <w:t>【</w:t>
      </w:r>
      <w:r>
        <w:rPr>
          <w:rFonts w:hint="eastAsia" w:ascii="仿宋" w:hAnsi="仿宋" w:eastAsia="仿宋"/>
          <w:b/>
        </w:rPr>
        <w:t>参考案例</w:t>
      </w:r>
      <w:r>
        <w:rPr>
          <w:rFonts w:hint="eastAsia" w:ascii="仿宋" w:hAnsi="仿宋" w:eastAsia="仿宋"/>
          <w:sz w:val="28"/>
          <w:szCs w:val="28"/>
          <w:lang w:eastAsia="zh-Hans"/>
        </w:rPr>
        <w:t>】</w:t>
      </w:r>
      <w:r>
        <w:rPr>
          <w:rFonts w:ascii="仿宋" w:hAnsi="仿宋" w:eastAsia="仿宋"/>
          <w:lang w:eastAsia="zh-Hans"/>
        </w:rPr>
        <w:t>浙江省高级人民法院（2015）浙辖终字第125号民事裁定书</w:t>
      </w:r>
      <w:r>
        <w:rPr>
          <w:rFonts w:hint="eastAsia" w:ascii="仿宋" w:hAnsi="仿宋" w:eastAsia="仿宋"/>
          <w:lang w:eastAsia="zh-Hans"/>
        </w:rPr>
        <w:t>：</w:t>
      </w:r>
      <w:r>
        <w:rPr>
          <w:rFonts w:ascii="仿宋" w:hAnsi="仿宋" w:eastAsia="仿宋"/>
          <w:lang w:eastAsia="zh-Hans"/>
        </w:rPr>
        <w:t>浙江新和成股份有限公司与福建省福抗药业股份有限公司、俞科等管辖案</w:t>
      </w:r>
    </w:p>
    <w:p>
      <w:pPr>
        <w:tabs>
          <w:tab w:val="left" w:pos="709"/>
          <w:tab w:val="left" w:pos="851"/>
          <w:tab w:val="left" w:pos="1134"/>
        </w:tabs>
        <w:spacing w:line="312" w:lineRule="auto"/>
        <w:ind w:left="-2" w:firstLine="482" w:firstLineChars="200"/>
        <w:rPr>
          <w:rFonts w:ascii="仿宋" w:hAnsi="仿宋" w:eastAsia="仿宋"/>
          <w:b/>
          <w:bCs/>
        </w:rPr>
      </w:pPr>
      <w:r>
        <w:rPr>
          <w:rFonts w:hint="eastAsia" w:ascii="仿宋" w:hAnsi="仿宋" w:eastAsia="仿宋"/>
          <w:b/>
          <w:bCs/>
          <w:lang w:eastAsia="zh-Hans"/>
        </w:rPr>
        <w:t>第</w:t>
      </w:r>
      <w:r>
        <w:rPr>
          <w:rFonts w:ascii="仿宋" w:hAnsi="仿宋" w:eastAsia="仿宋"/>
          <w:b/>
          <w:bCs/>
          <w:lang w:eastAsia="zh-Hans"/>
        </w:rPr>
        <w:t>42</w:t>
      </w:r>
      <w:r>
        <w:rPr>
          <w:rFonts w:hint="eastAsia" w:ascii="仿宋" w:hAnsi="仿宋" w:eastAsia="仿宋"/>
          <w:b/>
          <w:bCs/>
          <w:lang w:eastAsia="zh-Hans"/>
        </w:rPr>
        <w:t>条</w:t>
      </w:r>
      <w:r>
        <w:rPr>
          <w:rFonts w:ascii="仿宋" w:hAnsi="仿宋" w:eastAsia="仿宋"/>
          <w:b/>
          <w:bCs/>
          <w:lang w:eastAsia="zh-Hans"/>
        </w:rPr>
        <w:t xml:space="preserve"> 【</w:t>
      </w:r>
      <w:r>
        <w:rPr>
          <w:rFonts w:hint="eastAsia" w:ascii="仿宋" w:hAnsi="仿宋" w:eastAsia="仿宋"/>
          <w:b/>
          <w:bCs/>
        </w:rPr>
        <w:t>管辖权审查与异议（</w:t>
      </w:r>
      <w:r>
        <w:rPr>
          <w:rFonts w:ascii="仿宋" w:hAnsi="仿宋" w:eastAsia="仿宋"/>
          <w:b/>
          <w:bCs/>
        </w:rPr>
        <w:t>被告</w:t>
      </w:r>
      <w:r>
        <w:rPr>
          <w:rFonts w:hint="eastAsia" w:ascii="仿宋" w:hAnsi="仿宋" w:eastAsia="仿宋"/>
          <w:b/>
          <w:bCs/>
        </w:rPr>
        <w:t>）</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42</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代理被告的诉讼案件中，承办律师应当依据《民事诉讼法》的相关规定对管辖权进行审查，如认为管辖不符合相关规定</w:t>
      </w:r>
      <w:r>
        <w:rPr>
          <w:rFonts w:hint="eastAsia" w:ascii="仿宋" w:hAnsi="仿宋" w:eastAsia="仿宋"/>
          <w:lang w:eastAsia="zh-Hans"/>
        </w:rPr>
        <w:t>以及存在“虚列被告”拉管辖的情形</w:t>
      </w:r>
      <w:r>
        <w:rPr>
          <w:rFonts w:hint="eastAsia" w:ascii="仿宋" w:hAnsi="仿宋" w:eastAsia="仿宋"/>
        </w:rPr>
        <w:t>，应当向委托人提出建议，并及时提起管辖权异议。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42</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仲裁机构受理的，应当审查诉争合同是否列有仲裁条款或者双方达成了仲裁协议，该仲裁约定是否明确、规范，该仲裁机构是否与约定相符。</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42</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对于仲裁约定不明确、不规范或者受理的仲裁机构与约定不符的，应当在答辩期内及时提出管辖权异议。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42</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法院受理的，应当审查受理法院是否具有司法管辖权。发现有无权管辖情形的，应当及时在答辩期内提出管辖异议申请。</w:t>
      </w:r>
    </w:p>
    <w:p>
      <w:pPr>
        <w:tabs>
          <w:tab w:val="left" w:pos="709"/>
          <w:tab w:val="left" w:pos="851"/>
          <w:tab w:val="left" w:pos="1134"/>
        </w:tabs>
        <w:spacing w:line="312" w:lineRule="auto"/>
        <w:ind w:left="-2" w:firstLine="500"/>
        <w:rPr>
          <w:rFonts w:ascii="仿宋" w:hAnsi="仿宋" w:eastAsia="仿宋"/>
          <w:sz w:val="28"/>
          <w:szCs w:val="28"/>
          <w:lang w:eastAsia="zh-Hans"/>
        </w:rPr>
      </w:pPr>
      <w:r>
        <w:rPr>
          <w:rFonts w:hint="eastAsia" w:ascii="仿宋" w:hAnsi="仿宋" w:eastAsia="仿宋"/>
          <w:sz w:val="28"/>
          <w:szCs w:val="28"/>
          <w:lang w:eastAsia="zh-Hans"/>
        </w:rPr>
        <w:t>【</w:t>
      </w:r>
      <w:r>
        <w:rPr>
          <w:rFonts w:hint="eastAsia" w:ascii="仿宋" w:hAnsi="仿宋" w:eastAsia="仿宋"/>
          <w:b/>
        </w:rPr>
        <w:t>参考案例</w:t>
      </w:r>
      <w:r>
        <w:rPr>
          <w:rFonts w:hint="eastAsia" w:ascii="仿宋" w:hAnsi="仿宋" w:eastAsia="仿宋"/>
          <w:sz w:val="28"/>
          <w:szCs w:val="28"/>
          <w:lang w:eastAsia="zh-Hans"/>
        </w:rPr>
        <w:t>】</w:t>
      </w:r>
      <w:r>
        <w:rPr>
          <w:rFonts w:hint="eastAsia" w:ascii="仿宋" w:hAnsi="仿宋" w:eastAsia="仿宋"/>
        </w:rPr>
        <w:t>最高人民法院</w:t>
      </w:r>
      <w:r>
        <w:rPr>
          <w:rFonts w:ascii="仿宋" w:hAnsi="仿宋" w:eastAsia="仿宋"/>
        </w:rPr>
        <w:t>(2007)民三终字第10号</w:t>
      </w:r>
      <w:r>
        <w:rPr>
          <w:rFonts w:hint="eastAsia" w:ascii="仿宋" w:hAnsi="仿宋" w:eastAsia="仿宋"/>
        </w:rPr>
        <w:t>：四维实业（深圳）有限公司、四维企业股份有限公司与艾利丹尼森公司、艾利（广州）有限公司、艾利（昆山）有限公司、艾利（中国）有限公司、南海市里水意利印刷厂、佛山市环市镇东升汾江印刷厂经营部侵犯商业秘密纠纷管辖权异议案</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需要注意，</w:t>
      </w:r>
      <w:r>
        <w:rPr>
          <w:rFonts w:ascii="仿宋" w:hAnsi="仿宋" w:eastAsia="仿宋"/>
        </w:rPr>
        <w:t>代理被告提出管辖权异议的，应当在提交答辩状期间提出。</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一般情况下，</w:t>
      </w:r>
      <w:r>
        <w:rPr>
          <w:rFonts w:ascii="仿宋" w:hAnsi="仿宋" w:eastAsia="仿宋"/>
        </w:rPr>
        <w:t>为了争取更充分地了解案情和收集证据应诉，或者为了延缓实体审理，被告</w:t>
      </w:r>
      <w:r>
        <w:rPr>
          <w:rFonts w:hint="eastAsia" w:ascii="仿宋" w:hAnsi="仿宋" w:eastAsia="仿宋"/>
        </w:rPr>
        <w:t>或者被申请人</w:t>
      </w:r>
      <w:r>
        <w:rPr>
          <w:rFonts w:ascii="仿宋" w:hAnsi="仿宋" w:eastAsia="仿宋"/>
        </w:rPr>
        <w:t>通常会提出管辖权异议</w:t>
      </w:r>
      <w:r>
        <w:rPr>
          <w:rFonts w:hint="eastAsia" w:ascii="仿宋" w:hAnsi="仿宋" w:eastAsia="仿宋"/>
          <w:lang w:eastAsia="zh-Hans"/>
        </w:rPr>
        <w:t>，但对于管辖权明确几无争议的案件提起管辖权异议的，作为代理律师应该非常慎重，须注意提交明显缺乏依据的管辖权异议可能存在被法院训诫、处罚的风险，案件代理人须对此有充分认识，并该告知当事人该种异议的风险</w:t>
      </w:r>
      <w:r>
        <w:rPr>
          <w:rFonts w:ascii="仿宋" w:hAnsi="仿宋" w:eastAsia="仿宋"/>
        </w:rPr>
        <w:t>。</w:t>
      </w:r>
    </w:p>
    <w:p>
      <w:pPr>
        <w:pStyle w:val="3"/>
        <w:spacing w:after="0" w:line="312" w:lineRule="auto"/>
        <w:jc w:val="center"/>
        <w:rPr>
          <w:sz w:val="28"/>
          <w:szCs w:val="28"/>
        </w:rPr>
      </w:pPr>
      <w:bookmarkStart w:id="32" w:name="_Toc122294627"/>
      <w:r>
        <w:rPr>
          <w:rFonts w:hint="eastAsia"/>
          <w:sz w:val="28"/>
          <w:szCs w:val="28"/>
        </w:rPr>
        <w:t>第三节 商业秘密案件的证据收集</w:t>
      </w:r>
      <w:bookmarkEnd w:id="32"/>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lang w:eastAsia="zh-Hans"/>
        </w:rPr>
        <w:t>第</w:t>
      </w:r>
      <w:r>
        <w:rPr>
          <w:rFonts w:ascii="仿宋" w:hAnsi="仿宋" w:eastAsia="仿宋"/>
          <w:b/>
          <w:bCs/>
          <w:lang w:eastAsia="zh-Hans"/>
        </w:rPr>
        <w:t>43</w:t>
      </w:r>
      <w:r>
        <w:rPr>
          <w:rFonts w:hint="eastAsia" w:ascii="仿宋" w:hAnsi="仿宋" w:eastAsia="仿宋"/>
          <w:b/>
          <w:bCs/>
          <w:lang w:eastAsia="zh-Hans"/>
        </w:rPr>
        <w:t>条</w:t>
      </w:r>
      <w:r>
        <w:rPr>
          <w:rFonts w:ascii="仿宋" w:hAnsi="仿宋" w:eastAsia="仿宋"/>
          <w:b/>
          <w:bCs/>
          <w:lang w:eastAsia="zh-Hans"/>
        </w:rPr>
        <w:t xml:space="preserve"> 【</w:t>
      </w:r>
      <w:r>
        <w:rPr>
          <w:rFonts w:ascii="仿宋" w:hAnsi="仿宋" w:eastAsia="仿宋"/>
          <w:b/>
          <w:bCs/>
        </w:rPr>
        <w:t>原告</w:t>
      </w:r>
      <w:r>
        <w:rPr>
          <w:rFonts w:hint="eastAsia" w:ascii="仿宋" w:hAnsi="仿宋" w:eastAsia="仿宋"/>
          <w:b/>
          <w:bCs/>
        </w:rPr>
        <w:t>的证据收集</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43</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接受委托代理商业秘密权利人一方，主要围绕商业秘密的权属、商业秘密的构成、</w:t>
      </w:r>
      <w:r>
        <w:rPr>
          <w:rFonts w:hint="eastAsia" w:ascii="仿宋" w:hAnsi="仿宋" w:eastAsia="仿宋"/>
          <w:lang w:eastAsia="zh-Hans"/>
        </w:rPr>
        <w:t>被诉侵权人接触商业秘密信息、</w:t>
      </w:r>
      <w:r>
        <w:rPr>
          <w:rFonts w:hint="eastAsia" w:ascii="仿宋" w:hAnsi="仿宋" w:eastAsia="仿宋"/>
        </w:rPr>
        <w:t>侵权行为的实施方式、</w:t>
      </w:r>
      <w:r>
        <w:rPr>
          <w:rFonts w:hint="eastAsia" w:ascii="仿宋" w:hAnsi="仿宋" w:eastAsia="仿宋"/>
          <w:lang w:eastAsia="zh-Hans"/>
        </w:rPr>
        <w:t>被诉侵权信息与商业秘密信息实质相同、责任承担与</w:t>
      </w:r>
      <w:r>
        <w:rPr>
          <w:rFonts w:hint="eastAsia" w:ascii="仿宋" w:hAnsi="仿宋" w:eastAsia="仿宋"/>
        </w:rPr>
        <w:t>损失计算</w:t>
      </w:r>
      <w:r>
        <w:rPr>
          <w:rFonts w:hint="eastAsia" w:ascii="仿宋" w:hAnsi="仿宋" w:eastAsia="仿宋"/>
          <w:lang w:eastAsia="zh-Hans"/>
        </w:rPr>
        <w:t>等五个</w:t>
      </w:r>
      <w:r>
        <w:rPr>
          <w:rFonts w:hint="eastAsia" w:ascii="仿宋" w:hAnsi="仿宋" w:eastAsia="仿宋"/>
        </w:rPr>
        <w:t>方面开展原告的证据收集工作，具体包括以下几个方面：</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43</w:t>
      </w:r>
      <w:r>
        <w:rPr>
          <w:rFonts w:hint="eastAsia" w:ascii="仿宋" w:hAnsi="仿宋" w:eastAsia="仿宋"/>
          <w:bCs/>
          <w:lang w:eastAsia="zh-Hans"/>
        </w:rPr>
        <w:t>.</w:t>
      </w:r>
      <w:r>
        <w:rPr>
          <w:rFonts w:ascii="仿宋" w:hAnsi="仿宋" w:eastAsia="仿宋"/>
          <w:bCs/>
          <w:lang w:eastAsia="zh-Hans"/>
        </w:rPr>
        <w:t xml:space="preserve">2 </w:t>
      </w:r>
      <w:r>
        <w:rPr>
          <w:rFonts w:hint="eastAsia" w:ascii="仿宋" w:hAnsi="仿宋" w:eastAsia="仿宋"/>
          <w:bCs/>
        </w:rPr>
        <w:t>权属类证据，包括但不限于：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 </w:t>
      </w:r>
      <w:r>
        <w:rPr>
          <w:rFonts w:hint="eastAsia" w:ascii="仿宋" w:hAnsi="仿宋" w:eastAsia="仿宋"/>
        </w:rPr>
        <w:t>著作权登记证书</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（2） </w:t>
      </w:r>
      <w:r>
        <w:rPr>
          <w:rFonts w:hint="eastAsia" w:ascii="仿宋" w:hAnsi="仿宋" w:eastAsia="仿宋"/>
        </w:rPr>
        <w:t>专利权证书</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（3） </w:t>
      </w:r>
      <w:r>
        <w:rPr>
          <w:rFonts w:hint="eastAsia" w:ascii="仿宋" w:hAnsi="仿宋" w:eastAsia="仿宋"/>
        </w:rPr>
        <w:t>原始设计、研发记录、实验记录、缺陷修正记录、测绘记录</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（4） </w:t>
      </w:r>
      <w:r>
        <w:rPr>
          <w:rFonts w:hint="eastAsia" w:ascii="仿宋" w:hAnsi="仿宋" w:eastAsia="仿宋"/>
        </w:rPr>
        <w:t>源代码及相关文档（可能包括业务文档、需求文档、设计文档）</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（5） </w:t>
      </w:r>
      <w:r>
        <w:rPr>
          <w:rFonts w:hint="eastAsia" w:ascii="仿宋" w:hAnsi="仿宋" w:eastAsia="仿宋"/>
        </w:rPr>
        <w:t>配方、工艺卡</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（6） </w:t>
      </w:r>
      <w:r>
        <w:rPr>
          <w:rFonts w:hint="eastAsia" w:ascii="仿宋" w:hAnsi="仿宋" w:eastAsia="仿宋"/>
        </w:rPr>
        <w:t>设计图、工艺图、安装图</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（7） </w:t>
      </w:r>
      <w:r>
        <w:rPr>
          <w:rFonts w:hint="eastAsia" w:ascii="仿宋" w:hAnsi="仿宋" w:eastAsia="仿宋"/>
        </w:rPr>
        <w:t>计算机原文件或设备自动化运行存储记录</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（8） </w:t>
      </w:r>
      <w:r>
        <w:rPr>
          <w:rFonts w:hint="eastAsia" w:ascii="仿宋" w:hAnsi="仿宋" w:eastAsia="仿宋"/>
        </w:rPr>
        <w:t>与商业秘密权属内容、范围相关的介绍、证明开发、实验过程的相关材料。</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43</w:t>
      </w:r>
      <w:r>
        <w:rPr>
          <w:rFonts w:hint="eastAsia" w:ascii="仿宋" w:hAnsi="仿宋" w:eastAsia="仿宋"/>
          <w:bCs/>
          <w:lang w:eastAsia="zh-Hans"/>
        </w:rPr>
        <w:t>.</w:t>
      </w:r>
      <w:r>
        <w:rPr>
          <w:rFonts w:ascii="仿宋" w:hAnsi="仿宋" w:eastAsia="仿宋"/>
          <w:bCs/>
          <w:lang w:eastAsia="zh-Hans"/>
        </w:rPr>
        <w:t xml:space="preserve">3 </w:t>
      </w:r>
      <w:r>
        <w:rPr>
          <w:rFonts w:hint="eastAsia" w:ascii="仿宋" w:hAnsi="仿宋" w:eastAsia="仿宋"/>
          <w:bCs/>
          <w:lang w:eastAsia="zh-Hans"/>
        </w:rPr>
        <w:t>秘密性（</w:t>
      </w:r>
      <w:r>
        <w:rPr>
          <w:rFonts w:hint="eastAsia" w:ascii="仿宋" w:hAnsi="仿宋" w:eastAsia="仿宋"/>
          <w:bCs/>
        </w:rPr>
        <w:t>非公知性</w:t>
      </w:r>
      <w:r>
        <w:rPr>
          <w:rFonts w:hint="eastAsia" w:ascii="仿宋" w:hAnsi="仿宋" w:eastAsia="仿宋"/>
          <w:bCs/>
          <w:lang w:eastAsia="zh-Hans"/>
        </w:rPr>
        <w:t>）</w:t>
      </w:r>
      <w:r>
        <w:rPr>
          <w:rFonts w:hint="eastAsia" w:ascii="仿宋" w:hAnsi="仿宋" w:eastAsia="仿宋"/>
          <w:bCs/>
        </w:rPr>
        <w:t>说明，包括但不限于：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 </w:t>
      </w:r>
      <w:r>
        <w:rPr>
          <w:rFonts w:hint="eastAsia" w:ascii="仿宋" w:hAnsi="仿宋" w:eastAsia="仿宋"/>
        </w:rPr>
        <w:t>非公知性鉴定报告</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（2） </w:t>
      </w:r>
      <w:r>
        <w:rPr>
          <w:rFonts w:hint="eastAsia" w:ascii="仿宋" w:hAnsi="仿宋" w:eastAsia="仿宋"/>
        </w:rPr>
        <w:t>科技查新报告</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（3） </w:t>
      </w:r>
      <w:r>
        <w:rPr>
          <w:rFonts w:hint="eastAsia" w:ascii="仿宋" w:hAnsi="仿宋" w:eastAsia="仿宋"/>
        </w:rPr>
        <w:t>同类竞品技术方案介绍，当事人全部、优化部分所采用的方案介绍</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43</w:t>
      </w:r>
      <w:r>
        <w:rPr>
          <w:rFonts w:hint="eastAsia" w:ascii="仿宋" w:hAnsi="仿宋" w:eastAsia="仿宋"/>
          <w:bCs/>
          <w:lang w:eastAsia="zh-Hans"/>
        </w:rPr>
        <w:t>.</w:t>
      </w:r>
      <w:r>
        <w:rPr>
          <w:rFonts w:ascii="仿宋" w:hAnsi="仿宋" w:eastAsia="仿宋"/>
          <w:bCs/>
          <w:lang w:eastAsia="zh-Hans"/>
        </w:rPr>
        <w:t>4</w:t>
      </w:r>
      <w:r>
        <w:rPr>
          <w:rFonts w:ascii="仿宋" w:hAnsi="仿宋" w:eastAsia="仿宋"/>
          <w:bCs/>
        </w:rPr>
        <w:t xml:space="preserve">  </w:t>
      </w:r>
      <w:r>
        <w:rPr>
          <w:rFonts w:hint="eastAsia" w:ascii="仿宋" w:hAnsi="仿宋" w:eastAsia="仿宋"/>
          <w:bCs/>
        </w:rPr>
        <w:t>保密措施类证据，包括但不限于：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 </w:t>
      </w:r>
      <w:r>
        <w:rPr>
          <w:rFonts w:hint="eastAsia" w:ascii="仿宋" w:hAnsi="仿宋" w:eastAsia="仿宋"/>
        </w:rPr>
        <w:t>载有保密条款的劳动合同、保密协议</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（2） </w:t>
      </w:r>
      <w:r>
        <w:rPr>
          <w:rFonts w:hint="eastAsia" w:ascii="仿宋" w:hAnsi="仿宋" w:eastAsia="仿宋"/>
        </w:rPr>
        <w:t>公司保密制度，包括但不限于保密等级的划分、保密文件管理制度、借阅制度、保密权限制度等</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（3） </w:t>
      </w:r>
      <w:r>
        <w:rPr>
          <w:rFonts w:hint="eastAsia" w:ascii="仿宋" w:hAnsi="仿宋" w:eastAsia="仿宋"/>
        </w:rPr>
        <w:t>公司章程（含保密条款）、保密培训记录、员工手册</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（4） </w:t>
      </w:r>
      <w:r>
        <w:rPr>
          <w:rFonts w:hint="eastAsia" w:ascii="仿宋" w:hAnsi="仿宋" w:eastAsia="仿宋"/>
        </w:rPr>
        <w:t>以标记、分类、隔离、加密、封存、限制接触或者获取人员范围等方式，对商业秘密及其载体进行区分和管理的证据</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（5） </w:t>
      </w:r>
      <w:r>
        <w:rPr>
          <w:rFonts w:hint="eastAsia" w:ascii="仿宋" w:hAnsi="仿宋" w:eastAsia="仿宋"/>
        </w:rPr>
        <w:t>所有与保密措施相关及上述相关资料公示或已发送员工知悉的相关材料</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43</w:t>
      </w:r>
      <w:r>
        <w:rPr>
          <w:rFonts w:hint="eastAsia" w:ascii="仿宋" w:hAnsi="仿宋" w:eastAsia="仿宋"/>
          <w:bCs/>
          <w:lang w:eastAsia="zh-Hans"/>
        </w:rPr>
        <w:t>.</w:t>
      </w:r>
      <w:r>
        <w:rPr>
          <w:rFonts w:ascii="仿宋" w:hAnsi="仿宋" w:eastAsia="仿宋"/>
          <w:bCs/>
          <w:lang w:eastAsia="zh-Hans"/>
        </w:rPr>
        <w:t>5</w:t>
      </w:r>
      <w:r>
        <w:rPr>
          <w:rFonts w:ascii="仿宋" w:hAnsi="仿宋" w:eastAsia="仿宋"/>
          <w:bCs/>
        </w:rPr>
        <w:t xml:space="preserve">  </w:t>
      </w:r>
      <w:r>
        <w:rPr>
          <w:rFonts w:hint="eastAsia" w:ascii="仿宋" w:hAnsi="仿宋" w:eastAsia="仿宋"/>
          <w:bCs/>
        </w:rPr>
        <w:t>接触类证据（关系类证据），包括但不限于：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 </w:t>
      </w:r>
      <w:r>
        <w:rPr>
          <w:rFonts w:hint="eastAsia" w:ascii="仿宋" w:hAnsi="仿宋" w:eastAsia="仿宋"/>
        </w:rPr>
        <w:t>被</w:t>
      </w:r>
      <w:r>
        <w:rPr>
          <w:rFonts w:hint="eastAsia" w:ascii="仿宋" w:hAnsi="仿宋" w:eastAsia="仿宋"/>
          <w:lang w:eastAsia="zh-Hans"/>
        </w:rPr>
        <w:t>诉</w:t>
      </w:r>
      <w:r>
        <w:rPr>
          <w:rFonts w:hint="eastAsia" w:ascii="仿宋" w:hAnsi="仿宋" w:eastAsia="仿宋"/>
        </w:rPr>
        <w:t>侵权人劳动合同、社保记录、工资、奖励</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（2） </w:t>
      </w:r>
      <w:r>
        <w:rPr>
          <w:rFonts w:hint="eastAsia" w:ascii="仿宋" w:hAnsi="仿宋" w:eastAsia="仿宋"/>
        </w:rPr>
        <w:t>被</w:t>
      </w:r>
      <w:r>
        <w:rPr>
          <w:rFonts w:hint="eastAsia" w:ascii="仿宋" w:hAnsi="仿宋" w:eastAsia="仿宋"/>
          <w:lang w:eastAsia="zh-Hans"/>
        </w:rPr>
        <w:t>诉</w:t>
      </w:r>
      <w:r>
        <w:rPr>
          <w:rFonts w:hint="eastAsia" w:ascii="仿宋" w:hAnsi="仿宋" w:eastAsia="仿宋"/>
        </w:rPr>
        <w:t>侵权人参与项目的信息</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（3） </w:t>
      </w:r>
      <w:r>
        <w:rPr>
          <w:rFonts w:hint="eastAsia" w:ascii="仿宋" w:hAnsi="仿宋" w:eastAsia="仿宋"/>
        </w:rPr>
        <w:t>被</w:t>
      </w:r>
      <w:r>
        <w:rPr>
          <w:rFonts w:hint="eastAsia" w:ascii="仿宋" w:hAnsi="仿宋" w:eastAsia="仿宋"/>
          <w:lang w:eastAsia="zh-Hans"/>
        </w:rPr>
        <w:t>诉</w:t>
      </w:r>
      <w:r>
        <w:rPr>
          <w:rFonts w:hint="eastAsia" w:ascii="仿宋" w:hAnsi="仿宋" w:eastAsia="仿宋"/>
        </w:rPr>
        <w:t>侵权人参与的立项书、完成的图纸、软件代码上传下载记录、查阅权限及后台查阅下载记录等</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（4） </w:t>
      </w:r>
      <w:r>
        <w:rPr>
          <w:rFonts w:hint="eastAsia" w:ascii="仿宋" w:hAnsi="仿宋" w:eastAsia="仿宋"/>
        </w:rPr>
        <w:t>员工档案表、责任书（逐年）等</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43</w:t>
      </w:r>
      <w:r>
        <w:rPr>
          <w:rFonts w:hint="eastAsia" w:ascii="仿宋" w:hAnsi="仿宋" w:eastAsia="仿宋"/>
          <w:bCs/>
          <w:lang w:eastAsia="zh-Hans"/>
        </w:rPr>
        <w:t>.</w:t>
      </w:r>
      <w:r>
        <w:rPr>
          <w:rFonts w:ascii="仿宋" w:hAnsi="仿宋" w:eastAsia="仿宋"/>
          <w:bCs/>
          <w:lang w:eastAsia="zh-Hans"/>
        </w:rPr>
        <w:t>6</w:t>
      </w:r>
      <w:r>
        <w:rPr>
          <w:rFonts w:ascii="仿宋" w:hAnsi="仿宋" w:eastAsia="仿宋"/>
          <w:bCs/>
        </w:rPr>
        <w:t xml:space="preserve">  </w:t>
      </w:r>
      <w:r>
        <w:rPr>
          <w:rFonts w:hint="eastAsia" w:ascii="仿宋" w:hAnsi="仿宋" w:eastAsia="仿宋"/>
          <w:bCs/>
        </w:rPr>
        <w:t>侵权行为证据，包括但不限于：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 </w:t>
      </w:r>
      <w:r>
        <w:rPr>
          <w:rFonts w:hint="eastAsia" w:ascii="仿宋" w:hAnsi="仿宋" w:eastAsia="仿宋"/>
        </w:rPr>
        <w:t>被</w:t>
      </w:r>
      <w:r>
        <w:rPr>
          <w:rFonts w:hint="eastAsia" w:ascii="仿宋" w:hAnsi="仿宋" w:eastAsia="仿宋"/>
          <w:lang w:eastAsia="zh-Hans"/>
        </w:rPr>
        <w:t>告利用原告的商业秘密申请专利；</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（2） </w:t>
      </w:r>
      <w:r>
        <w:rPr>
          <w:rFonts w:hint="eastAsia" w:ascii="仿宋" w:hAnsi="仿宋" w:eastAsia="仿宋"/>
        </w:rPr>
        <w:t>被</w:t>
      </w:r>
      <w:r>
        <w:rPr>
          <w:rFonts w:hint="eastAsia" w:ascii="仿宋" w:hAnsi="仿宋" w:eastAsia="仿宋"/>
          <w:lang w:eastAsia="zh-Hans"/>
        </w:rPr>
        <w:t>告利用原告的商业秘密制造产品；</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（3） </w:t>
      </w:r>
      <w:r>
        <w:rPr>
          <w:rFonts w:hint="eastAsia" w:ascii="仿宋" w:hAnsi="仿宋" w:eastAsia="仿宋"/>
        </w:rPr>
        <w:t>被</w:t>
      </w:r>
      <w:r>
        <w:rPr>
          <w:rFonts w:hint="eastAsia" w:ascii="仿宋" w:hAnsi="仿宋" w:eastAsia="仿宋"/>
          <w:lang w:eastAsia="zh-Hans"/>
        </w:rPr>
        <w:t>告利用原告的商业秘密与原告客户进行交易等。</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43</w:t>
      </w:r>
      <w:r>
        <w:rPr>
          <w:rFonts w:hint="eastAsia" w:ascii="仿宋" w:hAnsi="仿宋" w:eastAsia="仿宋"/>
          <w:bCs/>
          <w:lang w:eastAsia="zh-Hans"/>
        </w:rPr>
        <w:t>.</w:t>
      </w:r>
      <w:r>
        <w:rPr>
          <w:rFonts w:ascii="仿宋" w:hAnsi="仿宋" w:eastAsia="仿宋"/>
          <w:bCs/>
          <w:lang w:eastAsia="zh-Hans"/>
        </w:rPr>
        <w:t xml:space="preserve">7 </w:t>
      </w:r>
      <w:r>
        <w:rPr>
          <w:rFonts w:hint="eastAsia" w:ascii="仿宋" w:hAnsi="仿宋" w:eastAsia="仿宋"/>
          <w:bCs/>
          <w:lang w:eastAsia="zh-Hans"/>
        </w:rPr>
        <w:t>损失赔偿类</w:t>
      </w:r>
      <w:r>
        <w:rPr>
          <w:rFonts w:hint="eastAsia" w:ascii="仿宋" w:hAnsi="仿宋" w:eastAsia="仿宋"/>
          <w:bCs/>
        </w:rPr>
        <w:t>证据，包括但不限于：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（1） </w:t>
      </w:r>
      <w:r>
        <w:rPr>
          <w:rFonts w:hint="eastAsia" w:ascii="仿宋" w:hAnsi="仿宋" w:eastAsia="仿宋"/>
        </w:rPr>
        <w:t>涉案研发人员工资</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（2） </w:t>
      </w:r>
      <w:r>
        <w:rPr>
          <w:rFonts w:hint="eastAsia" w:ascii="仿宋" w:hAnsi="仿宋" w:eastAsia="仿宋"/>
        </w:rPr>
        <w:t>研发设备、实验设备开支</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（3） </w:t>
      </w:r>
      <w:r>
        <w:rPr>
          <w:rFonts w:hint="eastAsia" w:ascii="仿宋" w:hAnsi="仿宋" w:eastAsia="仿宋"/>
        </w:rPr>
        <w:t>研发经费、对外委托开发费用、研发人员社保、房租等费用投入的证据及明细</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 xml:space="preserve">（4） </w:t>
      </w:r>
      <w:r>
        <w:rPr>
          <w:rFonts w:hint="eastAsia" w:ascii="仿宋" w:hAnsi="仿宋" w:eastAsia="仿宋"/>
        </w:rPr>
        <w:t>近三年审计报告</w:t>
      </w:r>
      <w:r>
        <w:rPr>
          <w:rFonts w:hint="eastAsia" w:ascii="仿宋" w:hAnsi="仿宋" w:eastAsia="仿宋"/>
          <w:lang w:eastAsia="zh-Hans"/>
        </w:rPr>
        <w:t>；</w:t>
      </w:r>
    </w:p>
    <w:p>
      <w:pPr>
        <w:tabs>
          <w:tab w:val="left" w:pos="709"/>
          <w:tab w:val="left" w:pos="851"/>
          <w:tab w:val="left" w:pos="1134"/>
        </w:tabs>
        <w:spacing w:line="312" w:lineRule="auto"/>
        <w:ind w:left="-2" w:firstLine="500"/>
        <w:rPr>
          <w:rFonts w:ascii="仿宋" w:hAnsi="仿宋" w:eastAsia="仿宋"/>
          <w:lang w:eastAsia="zh-Hans"/>
        </w:rPr>
      </w:pPr>
      <w:r>
        <w:rPr>
          <w:rFonts w:ascii="仿宋" w:hAnsi="仿宋" w:eastAsia="仿宋"/>
          <w:lang w:eastAsia="zh-Hans"/>
        </w:rPr>
        <w:t xml:space="preserve">（5） </w:t>
      </w:r>
      <w:r>
        <w:rPr>
          <w:rFonts w:hint="eastAsia" w:ascii="仿宋" w:hAnsi="仿宋" w:eastAsia="仿宋"/>
          <w:lang w:eastAsia="zh-Hans"/>
        </w:rPr>
        <w:t>原告商业秘密产品的销量、利润率证据；</w:t>
      </w:r>
    </w:p>
    <w:p>
      <w:pPr>
        <w:tabs>
          <w:tab w:val="left" w:pos="709"/>
          <w:tab w:val="left" w:pos="851"/>
          <w:tab w:val="left" w:pos="1134"/>
        </w:tabs>
        <w:spacing w:line="312" w:lineRule="auto"/>
        <w:ind w:left="-2" w:firstLine="500"/>
        <w:rPr>
          <w:rFonts w:ascii="仿宋" w:hAnsi="仿宋" w:eastAsia="仿宋"/>
          <w:lang w:eastAsia="zh-Hans"/>
        </w:rPr>
      </w:pPr>
      <w:r>
        <w:rPr>
          <w:rFonts w:ascii="仿宋" w:hAnsi="仿宋" w:eastAsia="仿宋"/>
          <w:lang w:eastAsia="zh-Hans"/>
        </w:rPr>
        <w:t xml:space="preserve">（6） </w:t>
      </w:r>
      <w:r>
        <w:rPr>
          <w:rFonts w:hint="eastAsia" w:ascii="仿宋" w:hAnsi="仿宋" w:eastAsia="仿宋"/>
          <w:lang w:eastAsia="zh-Hans"/>
        </w:rPr>
        <w:t>被诉侵权产品的销量、利润率证据；</w:t>
      </w:r>
    </w:p>
    <w:p>
      <w:pPr>
        <w:tabs>
          <w:tab w:val="left" w:pos="709"/>
          <w:tab w:val="left" w:pos="851"/>
          <w:tab w:val="left" w:pos="1134"/>
        </w:tabs>
        <w:spacing w:line="312" w:lineRule="auto"/>
        <w:ind w:left="-2" w:firstLine="500"/>
        <w:rPr>
          <w:rFonts w:ascii="仿宋" w:hAnsi="仿宋" w:eastAsia="仿宋"/>
          <w:lang w:eastAsia="zh-Hans"/>
        </w:rPr>
      </w:pPr>
      <w:r>
        <w:rPr>
          <w:rFonts w:ascii="仿宋" w:hAnsi="仿宋" w:eastAsia="仿宋"/>
          <w:lang w:eastAsia="zh-Hans"/>
        </w:rPr>
        <w:t xml:space="preserve">（7） </w:t>
      </w:r>
      <w:r>
        <w:rPr>
          <w:rFonts w:hint="eastAsia" w:ascii="仿宋" w:hAnsi="仿宋" w:eastAsia="仿宋"/>
          <w:lang w:eastAsia="zh-Hans"/>
        </w:rPr>
        <w:t>同类产品的行业平均利润证据。</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lang w:eastAsia="zh-Hans"/>
        </w:rPr>
        <w:t>第</w:t>
      </w:r>
      <w:r>
        <w:rPr>
          <w:rFonts w:ascii="仿宋" w:hAnsi="仿宋" w:eastAsia="仿宋"/>
          <w:b/>
          <w:bCs/>
          <w:lang w:eastAsia="zh-Hans"/>
        </w:rPr>
        <w:t>44</w:t>
      </w:r>
      <w:r>
        <w:rPr>
          <w:rFonts w:hint="eastAsia" w:ascii="仿宋" w:hAnsi="仿宋" w:eastAsia="仿宋"/>
          <w:b/>
          <w:bCs/>
          <w:lang w:eastAsia="zh-Hans"/>
        </w:rPr>
        <w:t>条</w:t>
      </w:r>
      <w:r>
        <w:rPr>
          <w:rFonts w:ascii="仿宋" w:hAnsi="仿宋" w:eastAsia="仿宋"/>
          <w:b/>
          <w:bCs/>
          <w:lang w:eastAsia="zh-Hans"/>
        </w:rPr>
        <w:t xml:space="preserve"> 【</w:t>
      </w:r>
      <w:r>
        <w:rPr>
          <w:rFonts w:ascii="仿宋" w:hAnsi="仿宋" w:eastAsia="仿宋"/>
          <w:b/>
          <w:bCs/>
        </w:rPr>
        <w:t>被告</w:t>
      </w:r>
      <w:r>
        <w:rPr>
          <w:rFonts w:hint="eastAsia" w:ascii="仿宋" w:hAnsi="仿宋" w:eastAsia="仿宋"/>
          <w:b/>
          <w:bCs/>
        </w:rPr>
        <w:t>的证</w:t>
      </w:r>
      <w:r>
        <w:rPr>
          <w:rFonts w:ascii="仿宋" w:hAnsi="仿宋" w:eastAsia="仿宋"/>
          <w:b/>
          <w:bCs/>
        </w:rPr>
        <w:t>据</w:t>
      </w:r>
      <w:r>
        <w:rPr>
          <w:rFonts w:hint="eastAsia" w:ascii="仿宋" w:hAnsi="仿宋" w:eastAsia="仿宋"/>
          <w:b/>
          <w:bCs/>
        </w:rPr>
        <w:t>收集</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44</w:t>
      </w:r>
      <w:r>
        <w:rPr>
          <w:rFonts w:hint="eastAsia" w:ascii="仿宋" w:hAnsi="仿宋" w:eastAsia="仿宋"/>
          <w:lang w:eastAsia="zh-Hans"/>
        </w:rPr>
        <w:t>.</w:t>
      </w:r>
      <w:r>
        <w:rPr>
          <w:rFonts w:ascii="仿宋" w:hAnsi="仿宋" w:eastAsia="仿宋"/>
          <w:lang w:eastAsia="zh-Hans"/>
        </w:rPr>
        <w:t xml:space="preserve">1 </w:t>
      </w:r>
      <w:r>
        <w:rPr>
          <w:rFonts w:ascii="仿宋" w:hAnsi="仿宋" w:eastAsia="仿宋"/>
        </w:rPr>
        <w:t>承办律师在接受委托后，应根据委托全面调查、了解案件事实，收集、保存和保全提起诉讼所需的相关证据</w:t>
      </w:r>
      <w:r>
        <w:rPr>
          <w:rFonts w:hint="eastAsia" w:ascii="仿宋" w:hAnsi="仿宋" w:eastAsia="仿宋"/>
        </w:rPr>
        <w:t>，</w:t>
      </w:r>
      <w:r>
        <w:rPr>
          <w:rFonts w:ascii="仿宋" w:hAnsi="仿宋" w:eastAsia="仿宋"/>
        </w:rPr>
        <w:t>在全面了解案件事实的基础上，应依据相关法律、法规，对案件争议的主要法律问题向客户提出法律分析意见，并对纠纷解决的总体方案提出建议</w:t>
      </w:r>
      <w:r>
        <w:rPr>
          <w:rFonts w:hint="eastAsia" w:ascii="仿宋" w:hAnsi="仿宋" w:eastAsia="仿宋"/>
        </w:rPr>
        <w:t>。</w:t>
      </w:r>
    </w:p>
    <w:p>
      <w:pPr>
        <w:tabs>
          <w:tab w:val="left" w:pos="709"/>
          <w:tab w:val="left" w:pos="851"/>
          <w:tab w:val="left" w:pos="1134"/>
        </w:tabs>
        <w:spacing w:line="312" w:lineRule="auto"/>
        <w:ind w:left="-2" w:firstLine="500"/>
        <w:jc w:val="both"/>
        <w:rPr>
          <w:rFonts w:ascii="仿宋" w:hAnsi="仿宋" w:eastAsia="仿宋"/>
        </w:rPr>
      </w:pPr>
      <w:r>
        <w:rPr>
          <w:rFonts w:ascii="仿宋" w:hAnsi="仿宋" w:eastAsia="仿宋"/>
        </w:rPr>
        <w:t>44</w:t>
      </w:r>
      <w:r>
        <w:rPr>
          <w:rFonts w:hint="eastAsia" w:ascii="仿宋" w:hAnsi="仿宋" w:eastAsia="仿宋"/>
          <w:lang w:eastAsia="zh-Hans"/>
        </w:rPr>
        <w:t>.</w:t>
      </w:r>
      <w:r>
        <w:rPr>
          <w:rFonts w:ascii="仿宋" w:hAnsi="仿宋" w:eastAsia="仿宋"/>
          <w:lang w:eastAsia="zh-Hans"/>
        </w:rPr>
        <w:t xml:space="preserve">2 </w:t>
      </w:r>
      <w:r>
        <w:rPr>
          <w:rFonts w:ascii="仿宋" w:hAnsi="仿宋" w:eastAsia="仿宋"/>
        </w:rPr>
        <w:t>承办律师应当与客户一起查证和分析</w:t>
      </w:r>
      <w:r>
        <w:rPr>
          <w:rFonts w:hint="eastAsia" w:ascii="仿宋" w:hAnsi="仿宋" w:eastAsia="仿宋"/>
        </w:rPr>
        <w:t>案件</w:t>
      </w:r>
      <w:r>
        <w:rPr>
          <w:rFonts w:ascii="仿宋" w:hAnsi="仿宋" w:eastAsia="仿宋"/>
        </w:rPr>
        <w:t>事实，并</w:t>
      </w:r>
      <w:r>
        <w:rPr>
          <w:rFonts w:hint="eastAsia" w:ascii="仿宋" w:hAnsi="仿宋" w:eastAsia="仿宋"/>
        </w:rPr>
        <w:t>围绕案件事实</w:t>
      </w:r>
      <w:r>
        <w:rPr>
          <w:rFonts w:ascii="仿宋" w:hAnsi="仿宋" w:eastAsia="仿宋"/>
        </w:rPr>
        <w:t>收集证据</w:t>
      </w:r>
      <w:r>
        <w:rPr>
          <w:rFonts w:hint="eastAsia" w:ascii="仿宋" w:hAnsi="仿宋" w:eastAsia="仿宋"/>
        </w:rPr>
        <w:t>，</w:t>
      </w:r>
      <w:r>
        <w:rPr>
          <w:rFonts w:ascii="仿宋" w:hAnsi="仿宋" w:eastAsia="仿宋"/>
        </w:rPr>
        <w:t>证据不</w:t>
      </w:r>
      <w:r>
        <w:rPr>
          <w:rFonts w:hint="eastAsia" w:ascii="仿宋" w:hAnsi="仿宋" w:eastAsia="仿宋"/>
        </w:rPr>
        <w:t>充</w:t>
      </w:r>
      <w:r>
        <w:rPr>
          <w:rFonts w:ascii="仿宋" w:hAnsi="仿宋" w:eastAsia="仿宋"/>
        </w:rPr>
        <w:t>足的，应当请当事人补足或者代理人自行调查收集，并考虑是否申请调取证据或者</w:t>
      </w:r>
      <w:r>
        <w:rPr>
          <w:rFonts w:hint="eastAsia" w:ascii="仿宋" w:hAnsi="仿宋" w:eastAsia="仿宋"/>
        </w:rPr>
        <w:t>进行</w:t>
      </w:r>
      <w:r>
        <w:rPr>
          <w:rFonts w:ascii="仿宋" w:hAnsi="仿宋" w:eastAsia="仿宋"/>
        </w:rPr>
        <w:t>证据保全。</w:t>
      </w:r>
    </w:p>
    <w:p>
      <w:pPr>
        <w:tabs>
          <w:tab w:val="left" w:pos="709"/>
          <w:tab w:val="left" w:pos="851"/>
          <w:tab w:val="left" w:pos="1134"/>
        </w:tabs>
        <w:spacing w:line="312" w:lineRule="auto"/>
        <w:ind w:left="-2" w:firstLine="480" w:firstLineChars="200"/>
        <w:rPr>
          <w:rFonts w:ascii="仿宋" w:hAnsi="仿宋" w:eastAsia="仿宋"/>
        </w:rPr>
      </w:pPr>
      <w:r>
        <w:rPr>
          <w:rFonts w:hint="eastAsia" w:ascii="仿宋" w:hAnsi="仿宋" w:eastAsia="仿宋"/>
        </w:rPr>
        <w:t xml:space="preserve"> </w:t>
      </w:r>
      <w:r>
        <w:rPr>
          <w:rFonts w:ascii="仿宋" w:hAnsi="仿宋" w:eastAsia="仿宋"/>
        </w:rPr>
        <w:t>44</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商业秘密民事诉讼案件中，被告主要需围绕以下方面进行抗辩并收集相应的证据：</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（1）原告主张保护的信息不符商业秘密的构成要件；</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（2）</w:t>
      </w:r>
      <w:r>
        <w:rPr>
          <w:rFonts w:ascii="仿宋" w:hAnsi="仿宋" w:eastAsia="仿宋"/>
        </w:rPr>
        <w:t xml:space="preserve"> </w:t>
      </w:r>
      <w:r>
        <w:rPr>
          <w:rFonts w:hint="eastAsia" w:ascii="仿宋" w:hAnsi="仿宋" w:eastAsia="仿宋"/>
        </w:rPr>
        <w:t>被告不存在侵犯商业秘密的行为，包括：</w:t>
      </w:r>
      <w:r>
        <w:rPr>
          <w:rFonts w:hint="eastAsia" w:ascii="仿宋" w:hAnsi="仿宋" w:eastAsia="仿宋"/>
          <w:lang w:eastAsia="zh-Hans"/>
        </w:rPr>
        <w:t>被告没有接触原告的商业秘密信息、</w:t>
      </w:r>
      <w:r>
        <w:rPr>
          <w:rFonts w:hint="eastAsia" w:ascii="仿宋" w:hAnsi="仿宋" w:eastAsia="仿宋"/>
        </w:rPr>
        <w:t>被告使用的信息具有合法来源，或者被</w:t>
      </w:r>
      <w:r>
        <w:rPr>
          <w:rFonts w:hint="eastAsia" w:ascii="仿宋" w:hAnsi="仿宋" w:eastAsia="仿宋"/>
          <w:lang w:eastAsia="zh-Hans"/>
        </w:rPr>
        <w:t>诉</w:t>
      </w:r>
      <w:r>
        <w:rPr>
          <w:rFonts w:hint="eastAsia" w:ascii="仿宋" w:hAnsi="仿宋" w:eastAsia="仿宋"/>
        </w:rPr>
        <w:t>侵权信息与原告主张保护的商业秘密不相同或不实质相同。</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44</w:t>
      </w:r>
      <w:r>
        <w:rPr>
          <w:rFonts w:hint="eastAsia" w:ascii="仿宋" w:hAnsi="仿宋" w:eastAsia="仿宋"/>
          <w:lang w:eastAsia="zh-Hans"/>
        </w:rPr>
        <w:t>.</w:t>
      </w:r>
      <w:r>
        <w:rPr>
          <w:rFonts w:ascii="仿宋" w:hAnsi="仿宋" w:eastAsia="仿宋"/>
          <w:lang w:eastAsia="zh-Hans"/>
        </w:rPr>
        <w:t xml:space="preserve">4 </w:t>
      </w:r>
      <w:r>
        <w:rPr>
          <w:rFonts w:ascii="仿宋" w:hAnsi="仿宋" w:eastAsia="仿宋"/>
        </w:rPr>
        <w:t>被告</w:t>
      </w:r>
      <w:r>
        <w:rPr>
          <w:rFonts w:hint="eastAsia" w:ascii="仿宋" w:hAnsi="仿宋" w:eastAsia="仿宋"/>
        </w:rPr>
        <w:t>及被告代理人</w:t>
      </w:r>
      <w:r>
        <w:rPr>
          <w:rFonts w:ascii="仿宋" w:hAnsi="仿宋" w:eastAsia="仿宋"/>
        </w:rPr>
        <w:t>及时提出答辩意见，将有助于法官在开庭前对纠纷进行全面的了解，有助于引导法官准确确定争议焦点，因此律师应当对答辩予以充分的重视。答辩状应当分别针对起诉状的内容，</w:t>
      </w:r>
      <w:r>
        <w:rPr>
          <w:rFonts w:hint="eastAsia" w:ascii="仿宋" w:hAnsi="仿宋" w:eastAsia="仿宋"/>
        </w:rPr>
        <w:t>先</w:t>
      </w:r>
      <w:r>
        <w:rPr>
          <w:rFonts w:ascii="仿宋" w:hAnsi="仿宋" w:eastAsia="仿宋"/>
        </w:rPr>
        <w:t>逐一进行</w:t>
      </w:r>
      <w:r>
        <w:rPr>
          <w:rFonts w:hint="eastAsia" w:ascii="仿宋" w:hAnsi="仿宋" w:eastAsia="仿宋"/>
        </w:rPr>
        <w:t>简要</w:t>
      </w:r>
      <w:r>
        <w:rPr>
          <w:rFonts w:ascii="仿宋" w:hAnsi="仿宋" w:eastAsia="仿宋"/>
        </w:rPr>
        <w:t>陈述，阐述</w:t>
      </w:r>
      <w:r>
        <w:rPr>
          <w:rFonts w:hint="eastAsia" w:ascii="仿宋" w:hAnsi="仿宋" w:eastAsia="仿宋"/>
        </w:rPr>
        <w:t>主要</w:t>
      </w:r>
      <w:r>
        <w:rPr>
          <w:rFonts w:ascii="仿宋" w:hAnsi="仿宋" w:eastAsia="仿宋"/>
        </w:rPr>
        <w:t>观点和理由，并附必要的证据。详细的抗辩</w:t>
      </w:r>
      <w:r>
        <w:rPr>
          <w:rFonts w:hint="eastAsia" w:ascii="仿宋" w:hAnsi="仿宋" w:eastAsia="仿宋"/>
        </w:rPr>
        <w:t>意见</w:t>
      </w:r>
      <w:r>
        <w:rPr>
          <w:rFonts w:ascii="仿宋" w:hAnsi="仿宋" w:eastAsia="仿宋"/>
        </w:rPr>
        <w:t>可以在开庭审理中结合事实与证据进行全面陈述。</w:t>
      </w:r>
    </w:p>
    <w:p>
      <w:pPr>
        <w:pStyle w:val="3"/>
        <w:spacing w:after="0" w:line="312" w:lineRule="auto"/>
        <w:jc w:val="center"/>
        <w:rPr>
          <w:sz w:val="28"/>
          <w:szCs w:val="28"/>
        </w:rPr>
      </w:pPr>
      <w:bookmarkStart w:id="33" w:name="_Toc122294628"/>
      <w:r>
        <w:rPr>
          <w:sz w:val="28"/>
          <w:szCs w:val="28"/>
        </w:rPr>
        <w:t>第</w:t>
      </w:r>
      <w:r>
        <w:rPr>
          <w:rFonts w:hint="eastAsia"/>
          <w:sz w:val="28"/>
          <w:szCs w:val="28"/>
        </w:rPr>
        <w:t>四</w:t>
      </w:r>
      <w:r>
        <w:rPr>
          <w:sz w:val="28"/>
          <w:szCs w:val="28"/>
        </w:rPr>
        <w:t xml:space="preserve">节 </w:t>
      </w:r>
      <w:r>
        <w:rPr>
          <w:rFonts w:hint="eastAsia"/>
          <w:sz w:val="28"/>
          <w:szCs w:val="28"/>
        </w:rPr>
        <w:t>其他诉前工作</w:t>
      </w:r>
      <w:bookmarkEnd w:id="33"/>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45</w:t>
      </w:r>
      <w:r>
        <w:rPr>
          <w:rFonts w:hint="eastAsia" w:ascii="仿宋" w:hAnsi="仿宋" w:eastAsia="仿宋"/>
          <w:b/>
          <w:bCs/>
        </w:rPr>
        <w:t>条</w:t>
      </w:r>
      <w:r>
        <w:rPr>
          <w:rFonts w:ascii="仿宋" w:hAnsi="仿宋" w:eastAsia="仿宋"/>
          <w:b/>
          <w:bCs/>
        </w:rPr>
        <w:t xml:space="preserve"> 【明确客户诉求】</w:t>
      </w:r>
    </w:p>
    <w:p>
      <w:pPr>
        <w:tabs>
          <w:tab w:val="left" w:pos="709"/>
          <w:tab w:val="left" w:pos="851"/>
          <w:tab w:val="left" w:pos="1134"/>
        </w:tabs>
        <w:spacing w:line="312" w:lineRule="auto"/>
        <w:ind w:left="-2" w:firstLine="500"/>
        <w:jc w:val="both"/>
        <w:rPr>
          <w:rFonts w:ascii="仿宋" w:hAnsi="仿宋" w:eastAsia="仿宋"/>
        </w:rPr>
      </w:pPr>
      <w:r>
        <w:rPr>
          <w:rFonts w:ascii="仿宋" w:hAnsi="仿宋" w:eastAsia="仿宋"/>
        </w:rPr>
        <w:t>承办律师应当围绕客户的战略目标，以</w:t>
      </w:r>
      <w:r>
        <w:rPr>
          <w:rFonts w:hint="eastAsia" w:ascii="仿宋" w:hAnsi="仿宋" w:eastAsia="仿宋"/>
        </w:rPr>
        <w:t>依法</w:t>
      </w:r>
      <w:r>
        <w:rPr>
          <w:rFonts w:ascii="仿宋" w:hAnsi="仿宋" w:eastAsia="仿宋"/>
        </w:rPr>
        <w:t>实现客户的战略目标为目的，协助客户制订总体应对策略和具体诉讼方案</w:t>
      </w:r>
      <w:r>
        <w:rPr>
          <w:rFonts w:hint="eastAsia" w:ascii="仿宋" w:hAnsi="仿宋" w:eastAsia="仿宋"/>
        </w:rPr>
        <w:t>，明确案件的诉讼请求及</w:t>
      </w:r>
      <w:r>
        <w:rPr>
          <w:rFonts w:ascii="仿宋" w:hAnsi="仿宋" w:eastAsia="仿宋"/>
        </w:rPr>
        <w:t>原告诉讼的目的</w:t>
      </w:r>
      <w:r>
        <w:rPr>
          <w:rFonts w:hint="eastAsia" w:ascii="仿宋" w:hAnsi="仿宋" w:eastAsia="仿宋"/>
        </w:rPr>
        <w:t>，在综合分析</w:t>
      </w:r>
      <w:r>
        <w:rPr>
          <w:rFonts w:ascii="仿宋" w:hAnsi="仿宋" w:eastAsia="仿宋"/>
        </w:rPr>
        <w:t>所有的证据材料</w:t>
      </w:r>
      <w:r>
        <w:rPr>
          <w:rFonts w:hint="eastAsia" w:ascii="仿宋" w:hAnsi="仿宋" w:eastAsia="仿宋"/>
        </w:rPr>
        <w:t>及相关</w:t>
      </w:r>
      <w:r>
        <w:rPr>
          <w:rFonts w:ascii="仿宋" w:hAnsi="仿宋" w:eastAsia="仿宋"/>
        </w:rPr>
        <w:t>事实</w:t>
      </w:r>
      <w:r>
        <w:rPr>
          <w:rFonts w:hint="eastAsia" w:ascii="仿宋" w:hAnsi="仿宋" w:eastAsia="仿宋"/>
        </w:rPr>
        <w:t>后，从客户的主要目标出发，向客户提出相关建议及案件初步预期，并明确告知诉讼风险。</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46</w:t>
      </w:r>
      <w:r>
        <w:rPr>
          <w:rFonts w:hint="eastAsia" w:ascii="仿宋" w:hAnsi="仿宋" w:eastAsia="仿宋"/>
          <w:b/>
          <w:bCs/>
        </w:rPr>
        <w:t>条</w:t>
      </w:r>
      <w:r>
        <w:rPr>
          <w:rFonts w:ascii="仿宋" w:hAnsi="仿宋" w:eastAsia="仿宋"/>
          <w:b/>
          <w:bCs/>
        </w:rPr>
        <w:t xml:space="preserve"> 【案件事实归纳】</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46</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承办律师在对案件事实初步了解后，应当及时整理案件相关材料并制作备忘录，包括对主要事件、关键人员、时间节点及与案件争议焦点相关的主要证据等事项的整理。</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46</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代理商业秘密纠纷案件</w:t>
      </w:r>
      <w:r>
        <w:rPr>
          <w:rFonts w:ascii="仿宋" w:hAnsi="仿宋" w:eastAsia="仿宋"/>
        </w:rPr>
        <w:t>被告</w:t>
      </w:r>
      <w:r>
        <w:rPr>
          <w:rFonts w:hint="eastAsia" w:ascii="仿宋" w:hAnsi="仿宋" w:eastAsia="仿宋"/>
        </w:rPr>
        <w:t>时，应当重点根据商业秘密的载体和具体构成要件审查相关证据材料，并分析相应案情，初步判断原告所主张的商业秘密是否具备秘密性及保密性。</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47</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争</w:t>
      </w:r>
      <w:r>
        <w:rPr>
          <w:rFonts w:ascii="仿宋" w:hAnsi="仿宋" w:eastAsia="仿宋"/>
          <w:b/>
          <w:bCs/>
        </w:rPr>
        <w:t>议焦点归纳】</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承办律师在了解争议问题和案件相关事实后，应当围绕争议焦点进行法律分析，提出法律分析意见，供客户</w:t>
      </w:r>
      <w:r>
        <w:rPr>
          <w:rFonts w:hint="eastAsia" w:ascii="仿宋" w:hAnsi="仿宋" w:eastAsia="仿宋"/>
        </w:rPr>
        <w:t>参考</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48</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诉</w:t>
      </w:r>
      <w:r>
        <w:rPr>
          <w:rFonts w:ascii="仿宋" w:hAnsi="仿宋" w:eastAsia="仿宋"/>
          <w:b/>
          <w:bCs/>
        </w:rPr>
        <w:t>讼风险评估】</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承办律师应</w:t>
      </w:r>
      <w:r>
        <w:rPr>
          <w:rFonts w:hint="eastAsia" w:ascii="仿宋" w:hAnsi="仿宋" w:eastAsia="仿宋"/>
        </w:rPr>
        <w:t>从</w:t>
      </w:r>
      <w:r>
        <w:rPr>
          <w:rFonts w:ascii="仿宋" w:hAnsi="仿宋" w:eastAsia="仿宋"/>
        </w:rPr>
        <w:t>案由、诉讼主体、诉讼请求、管辖法院等</w:t>
      </w:r>
      <w:r>
        <w:rPr>
          <w:rFonts w:hint="eastAsia" w:ascii="仿宋" w:hAnsi="仿宋" w:eastAsia="仿宋"/>
        </w:rPr>
        <w:t>方面</w:t>
      </w:r>
      <w:r>
        <w:rPr>
          <w:rFonts w:ascii="仿宋" w:hAnsi="仿宋" w:eastAsia="仿宋"/>
        </w:rPr>
        <w:t>，</w:t>
      </w:r>
      <w:r>
        <w:rPr>
          <w:rFonts w:hint="eastAsia" w:ascii="仿宋" w:hAnsi="仿宋" w:eastAsia="仿宋"/>
        </w:rPr>
        <w:t>充分评估诉讼风险，并</w:t>
      </w:r>
      <w:r>
        <w:rPr>
          <w:rFonts w:ascii="仿宋" w:hAnsi="仿宋" w:eastAsia="仿宋"/>
        </w:rPr>
        <w:t>提出</w:t>
      </w:r>
      <w:r>
        <w:rPr>
          <w:rFonts w:hint="eastAsia" w:ascii="仿宋" w:hAnsi="仿宋" w:eastAsia="仿宋"/>
        </w:rPr>
        <w:t>相应的</w:t>
      </w:r>
      <w:r>
        <w:rPr>
          <w:rFonts w:ascii="仿宋" w:hAnsi="仿宋" w:eastAsia="仿宋"/>
        </w:rPr>
        <w:t>分析意见和建议。</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49</w:t>
      </w:r>
      <w:r>
        <w:rPr>
          <w:rFonts w:hint="eastAsia" w:ascii="仿宋" w:hAnsi="仿宋" w:eastAsia="仿宋"/>
          <w:b/>
          <w:bCs/>
        </w:rPr>
        <w:t>条</w:t>
      </w:r>
      <w:r>
        <w:rPr>
          <w:rFonts w:ascii="仿宋" w:hAnsi="仿宋" w:eastAsia="仿宋"/>
          <w:b/>
          <w:bCs/>
        </w:rPr>
        <w:t xml:space="preserve"> 【类案检索】</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承办律师应当在全面分析案件证据材料及争议焦点的基础上，进一步分析案件需要解决的事实问题或法律问题，以此确定类案检索的方案，并根据检索方案进行有针对性的背景信息收集、整理和分析，将案件的具体事实抽象为检索需要的法律事实，提炼关键词，最后整理与分析相关案件的裁判文书，总结裁判观点。</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50</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诉讼方案的确定</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根据当事人提供的证据，确定被告及被诉侵权行为，并基于有利于当事人的角度出发，主张相应的诉讼请求，并计算损失赔偿额及原告为制止侵权行为所支出的合理开支，并考虑案情是否适用惩罚性赔偿。</w:t>
      </w: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tabs>
          <w:tab w:val="left" w:pos="709"/>
          <w:tab w:val="left" w:pos="851"/>
          <w:tab w:val="left" w:pos="1134"/>
        </w:tabs>
        <w:spacing w:line="312" w:lineRule="auto"/>
        <w:ind w:left="-2" w:firstLine="500"/>
        <w:rPr>
          <w:rFonts w:ascii="仿宋" w:hAnsi="仿宋" w:eastAsia="仿宋"/>
        </w:rPr>
      </w:pPr>
    </w:p>
    <w:p>
      <w:pPr>
        <w:pStyle w:val="2"/>
        <w:spacing w:after="0" w:line="312" w:lineRule="auto"/>
        <w:rPr>
          <w:rFonts w:cs="黑体"/>
          <w:sz w:val="28"/>
          <w:szCs w:val="28"/>
        </w:rPr>
      </w:pPr>
    </w:p>
    <w:p>
      <w:pPr>
        <w:pStyle w:val="2"/>
        <w:spacing w:after="0" w:line="312" w:lineRule="auto"/>
        <w:rPr>
          <w:rFonts w:cs="黑体"/>
          <w:sz w:val="28"/>
          <w:szCs w:val="28"/>
        </w:rPr>
      </w:pPr>
      <w:bookmarkStart w:id="34" w:name="_Toc122294629"/>
      <w:r>
        <w:rPr>
          <w:rFonts w:hint="eastAsia" w:cs="黑体"/>
          <w:sz w:val="28"/>
          <w:szCs w:val="28"/>
        </w:rPr>
        <w:t xml:space="preserve">第四章 </w:t>
      </w:r>
      <w:r>
        <w:rPr>
          <w:rFonts w:hint="eastAsia" w:cs="黑体"/>
          <w:sz w:val="28"/>
          <w:szCs w:val="28"/>
          <w:lang w:eastAsia="zh-Hans"/>
        </w:rPr>
        <w:t>商业秘密</w:t>
      </w:r>
      <w:r>
        <w:rPr>
          <w:rFonts w:hint="eastAsia" w:cs="黑体"/>
          <w:sz w:val="28"/>
          <w:szCs w:val="28"/>
        </w:rPr>
        <w:t>侵权诉讼程序</w:t>
      </w:r>
      <w:bookmarkEnd w:id="34"/>
    </w:p>
    <w:p>
      <w:pPr>
        <w:pStyle w:val="3"/>
        <w:spacing w:after="0" w:line="312" w:lineRule="auto"/>
        <w:jc w:val="center"/>
        <w:rPr>
          <w:sz w:val="24"/>
          <w:szCs w:val="24"/>
        </w:rPr>
      </w:pPr>
      <w:bookmarkStart w:id="35" w:name="_Toc122294630"/>
      <w:r>
        <w:rPr>
          <w:rFonts w:hint="eastAsia"/>
          <w:sz w:val="24"/>
          <w:szCs w:val="24"/>
        </w:rPr>
        <w:t>第一节 提起诉讼</w:t>
      </w:r>
      <w:bookmarkEnd w:id="35"/>
    </w:p>
    <w:p>
      <w:pPr>
        <w:tabs>
          <w:tab w:val="left" w:pos="709"/>
          <w:tab w:val="left" w:pos="851"/>
          <w:tab w:val="left" w:pos="1134"/>
        </w:tabs>
        <w:spacing w:line="312" w:lineRule="auto"/>
        <w:rPr>
          <w:rFonts w:ascii="仿宋" w:hAnsi="仿宋" w:eastAsia="仿宋"/>
          <w:b/>
          <w:bCs/>
        </w:rPr>
      </w:pPr>
      <w:r>
        <w:rPr>
          <w:rFonts w:hint="eastAsia" w:ascii="仿宋" w:hAnsi="仿宋" w:eastAsia="仿宋"/>
          <w:b/>
          <w:bCs/>
        </w:rPr>
        <w:t xml:space="preserve">    第</w:t>
      </w:r>
      <w:r>
        <w:rPr>
          <w:rFonts w:ascii="仿宋" w:hAnsi="仿宋" w:eastAsia="仿宋"/>
          <w:b/>
          <w:bCs/>
        </w:rPr>
        <w:t>51</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准备起诉状</w:t>
      </w:r>
      <w:r>
        <w:rPr>
          <w:rFonts w:ascii="仿宋" w:hAnsi="仿宋" w:eastAsia="仿宋"/>
          <w:b/>
          <w:bCs/>
        </w:rPr>
        <w:t>】</w:t>
      </w:r>
    </w:p>
    <w:p>
      <w:pPr>
        <w:tabs>
          <w:tab w:val="left" w:pos="709"/>
          <w:tab w:val="left" w:pos="851"/>
          <w:tab w:val="left" w:pos="1134"/>
        </w:tabs>
        <w:spacing w:line="312" w:lineRule="auto"/>
        <w:rPr>
          <w:rFonts w:ascii="仿宋" w:hAnsi="仿宋" w:eastAsia="仿宋"/>
          <w:color w:val="000000" w:themeColor="text1"/>
          <w14:textFill>
            <w14:solidFill>
              <w14:schemeClr w14:val="tx1"/>
            </w14:solidFill>
          </w14:textFill>
        </w:rPr>
      </w:pPr>
      <w:r>
        <w:rPr>
          <w:rFonts w:hint="eastAsia" w:ascii="仿宋" w:hAnsi="仿宋" w:eastAsia="仿宋"/>
        </w:rPr>
        <w:t xml:space="preserve">    </w:t>
      </w:r>
      <w:r>
        <w:rPr>
          <w:rFonts w:ascii="仿宋" w:hAnsi="仿宋" w:eastAsia="仿宋"/>
        </w:rPr>
        <w:t>51</w:t>
      </w:r>
      <w:r>
        <w:rPr>
          <w:rFonts w:hint="eastAsia" w:ascii="仿宋" w:hAnsi="仿宋" w:eastAsia="仿宋"/>
          <w:lang w:eastAsia="zh-Hans"/>
        </w:rPr>
        <w:t>.</w:t>
      </w:r>
      <w:r>
        <w:rPr>
          <w:rFonts w:ascii="仿宋" w:hAnsi="仿宋" w:eastAsia="仿宋"/>
          <w:lang w:eastAsia="zh-Hans"/>
        </w:rPr>
        <w:t>1</w:t>
      </w:r>
      <w:r>
        <w:rPr>
          <w:rFonts w:ascii="仿宋" w:hAnsi="仿宋" w:eastAsia="仿宋"/>
        </w:rPr>
        <w:t xml:space="preserve"> </w:t>
      </w:r>
      <w:r>
        <w:rPr>
          <w:rFonts w:hint="eastAsia" w:ascii="仿宋" w:hAnsi="仿宋" w:eastAsia="仿宋"/>
        </w:rPr>
        <w:t>确定原告。部分商业秘密案件，可能会涉及到几方利益，</w:t>
      </w:r>
      <w:r>
        <w:rPr>
          <w:rFonts w:ascii="仿宋" w:hAnsi="仿宋" w:eastAsia="仿宋"/>
        </w:rPr>
        <w:t>例如</w:t>
      </w:r>
      <w:r>
        <w:rPr>
          <w:rFonts w:hint="eastAsia" w:ascii="仿宋" w:hAnsi="仿宋" w:eastAsia="仿宋"/>
        </w:rPr>
        <w:t>商业秘密属于原公司，而原公司被新公司收购，那么此时原告是新公司还是原公司，需要做分析与判断。例如离职员工有多个，分别和委托人不同公司签署协议，而委托人的商业秘密（</w:t>
      </w:r>
      <w:r>
        <w:rPr>
          <w:rFonts w:ascii="仿宋" w:hAnsi="仿宋" w:eastAsia="仿宋"/>
        </w:rPr>
        <w:t>例如</w:t>
      </w:r>
      <w:r>
        <w:rPr>
          <w:rFonts w:hint="eastAsia" w:ascii="仿宋" w:hAnsi="仿宋" w:eastAsia="仿宋"/>
        </w:rPr>
        <w:t>技术信息或经营信息）属于不同关联公司所持有，</w:t>
      </w:r>
      <w:r>
        <w:rPr>
          <w:rFonts w:hint="eastAsia" w:ascii="仿宋" w:hAnsi="仿宋" w:eastAsia="仿宋"/>
          <w:color w:val="000000" w:themeColor="text1"/>
          <w14:textFill>
            <w14:solidFill>
              <w14:schemeClr w14:val="tx1"/>
            </w14:solidFill>
          </w14:textFill>
        </w:rPr>
        <w:t>此时就需要对原告主体作确定；通过商业秘密转让、商业秘密许可等方式获得权利的，此时也需对原告作确定。</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51</w:t>
      </w:r>
      <w:r>
        <w:rPr>
          <w:rFonts w:hint="eastAsia" w:ascii="仿宋" w:hAnsi="仿宋" w:eastAsia="仿宋"/>
          <w:lang w:eastAsia="zh-Hans"/>
        </w:rPr>
        <w:t>.</w:t>
      </w:r>
      <w:r>
        <w:rPr>
          <w:rFonts w:ascii="仿宋" w:hAnsi="仿宋" w:eastAsia="仿宋"/>
          <w:lang w:eastAsia="zh-Hans"/>
        </w:rPr>
        <w:t>2</w:t>
      </w:r>
      <w:r>
        <w:rPr>
          <w:rFonts w:ascii="仿宋" w:hAnsi="仿宋" w:eastAsia="仿宋"/>
        </w:rPr>
        <w:t xml:space="preserve"> </w:t>
      </w:r>
      <w:r>
        <w:rPr>
          <w:rFonts w:hint="eastAsia" w:ascii="仿宋" w:hAnsi="仿宋" w:eastAsia="仿宋"/>
        </w:rPr>
        <w:t>确定被告。商业秘密案件的被告，</w:t>
      </w:r>
      <w:r>
        <w:rPr>
          <w:rFonts w:hint="eastAsia" w:ascii="仿宋" w:hAnsi="仿宋" w:eastAsia="仿宋"/>
          <w:color w:val="000000" w:themeColor="text1"/>
          <w14:textFill>
            <w14:solidFill>
              <w14:schemeClr w14:val="tx1"/>
            </w14:solidFill>
          </w14:textFill>
        </w:rPr>
        <w:t>通常包括两类，一类是离职员工，</w:t>
      </w:r>
      <w:r>
        <w:rPr>
          <w:rFonts w:hint="eastAsia" w:ascii="仿宋" w:hAnsi="仿宋" w:eastAsia="仿宋"/>
        </w:rPr>
        <w:t>另一类是离职员工入职或新设单位。</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51</w:t>
      </w:r>
      <w:r>
        <w:rPr>
          <w:rFonts w:hint="eastAsia" w:ascii="仿宋" w:hAnsi="仿宋" w:eastAsia="仿宋"/>
          <w:lang w:eastAsia="zh-Hans"/>
        </w:rPr>
        <w:t>.</w:t>
      </w:r>
      <w:r>
        <w:rPr>
          <w:rFonts w:ascii="仿宋" w:hAnsi="仿宋" w:eastAsia="仿宋"/>
          <w:lang w:eastAsia="zh-Hans"/>
        </w:rPr>
        <w:t>3</w:t>
      </w:r>
      <w:r>
        <w:rPr>
          <w:rFonts w:ascii="仿宋" w:hAnsi="仿宋" w:eastAsia="仿宋"/>
        </w:rPr>
        <w:t xml:space="preserve"> </w:t>
      </w:r>
      <w:r>
        <w:rPr>
          <w:rFonts w:hint="eastAsia" w:ascii="仿宋" w:hAnsi="仿宋" w:eastAsia="仿宋"/>
        </w:rPr>
        <w:t>确定诉讼请求。商业秘密案件的诉讼请求，通常包括（1）停止侵权，有时原告也会主张要求被告销毁生产侵权产品的模具。（2）赔偿损失，诉讼标的数额需要原告确定，可以超过法定最高赔偿额；不同于其他不正当竞争行为。商业秘密侵权可以主张惩罚性赔偿。（3）赔偿合理开支，合理开支通常包括律师费、调查取证费、担保费、保全费等。</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51</w:t>
      </w:r>
      <w:r>
        <w:rPr>
          <w:rFonts w:hint="eastAsia" w:ascii="仿宋" w:hAnsi="仿宋" w:eastAsia="仿宋"/>
          <w:lang w:eastAsia="zh-Hans"/>
        </w:rPr>
        <w:t>.</w:t>
      </w:r>
      <w:r>
        <w:rPr>
          <w:rFonts w:ascii="仿宋" w:hAnsi="仿宋" w:eastAsia="仿宋"/>
          <w:lang w:eastAsia="zh-Hans"/>
        </w:rPr>
        <w:t>4</w:t>
      </w:r>
      <w:r>
        <w:rPr>
          <w:rFonts w:ascii="仿宋" w:hAnsi="仿宋" w:eastAsia="仿宋"/>
        </w:rPr>
        <w:t xml:space="preserve"> </w:t>
      </w:r>
      <w:r>
        <w:rPr>
          <w:rFonts w:hint="eastAsia" w:ascii="仿宋" w:hAnsi="仿宋" w:eastAsia="仿宋"/>
        </w:rPr>
        <w:t>确定案由和管辖：商业秘密包括技术秘密和经营秘密，</w:t>
      </w:r>
      <w:r>
        <w:rPr>
          <w:rFonts w:hint="eastAsia" w:ascii="仿宋" w:hAnsi="仿宋" w:eastAsia="仿宋"/>
          <w:color w:val="000000" w:themeColor="text1"/>
          <w14:textFill>
            <w14:solidFill>
              <w14:schemeClr w14:val="tx1"/>
            </w14:solidFill>
          </w14:textFill>
        </w:rPr>
        <w:t>在起诉时</w:t>
      </w:r>
      <w:r>
        <w:rPr>
          <w:rFonts w:hint="eastAsia" w:ascii="仿宋" w:hAnsi="仿宋" w:eastAsia="仿宋"/>
        </w:rPr>
        <w:t>需要明确细化案由。若是技术秘密案件，一审</w:t>
      </w:r>
      <w:r>
        <w:rPr>
          <w:rFonts w:hint="eastAsia" w:ascii="仿宋" w:hAnsi="仿宋" w:eastAsia="仿宋"/>
          <w:lang w:eastAsia="zh-Hans"/>
        </w:rPr>
        <w:t>由知识产权法院或</w:t>
      </w:r>
      <w:r>
        <w:rPr>
          <w:rFonts w:hint="eastAsia" w:ascii="仿宋" w:hAnsi="仿宋" w:eastAsia="仿宋"/>
        </w:rPr>
        <w:t>省、自治区、直辖市人民政府所在地的中级人民法院和最高人民法院确定的中级人民法院管辖，二审</w:t>
      </w:r>
      <w:r>
        <w:rPr>
          <w:rFonts w:hint="eastAsia" w:ascii="仿宋" w:hAnsi="仿宋" w:eastAsia="仿宋"/>
          <w:lang w:eastAsia="zh-Hans"/>
        </w:rPr>
        <w:t>由</w:t>
      </w:r>
      <w:r>
        <w:rPr>
          <w:rFonts w:hint="eastAsia" w:ascii="仿宋" w:hAnsi="仿宋" w:eastAsia="仿宋"/>
        </w:rPr>
        <w:t>最高人民法院管辖；若是经营秘密案件，一审是有知识产权管辖权的基层人民法院管辖</w:t>
      </w:r>
      <w:r>
        <w:rPr>
          <w:rFonts w:hint="eastAsia" w:ascii="仿宋" w:hAnsi="仿宋" w:eastAsia="仿宋"/>
          <w:lang w:eastAsia="zh-Hans"/>
        </w:rPr>
        <w:t>（如标的额达到最高人民法院确定的中级法院或高级法院管辖数额的，则由该法院管辖）</w:t>
      </w:r>
      <w:r>
        <w:rPr>
          <w:rFonts w:hint="eastAsia" w:ascii="仿宋" w:hAnsi="仿宋" w:eastAsia="仿宋"/>
        </w:rPr>
        <w:t>，二审则是相应的上级法院管辖。</w:t>
      </w:r>
    </w:p>
    <w:p>
      <w:pPr>
        <w:tabs>
          <w:tab w:val="left" w:pos="709"/>
          <w:tab w:val="left" w:pos="851"/>
          <w:tab w:val="left" w:pos="1134"/>
        </w:tabs>
        <w:spacing w:line="312" w:lineRule="auto"/>
        <w:ind w:left="-2" w:firstLine="500"/>
        <w:rPr>
          <w:rFonts w:ascii="仿宋" w:hAnsi="仿宋" w:eastAsia="仿宋"/>
          <w:color w:val="FF0000"/>
        </w:rPr>
      </w:pPr>
      <w:r>
        <w:rPr>
          <w:rFonts w:ascii="仿宋" w:hAnsi="仿宋" w:eastAsia="仿宋"/>
        </w:rPr>
        <w:t>51</w:t>
      </w:r>
      <w:r>
        <w:rPr>
          <w:rFonts w:ascii="仿宋" w:hAnsi="仿宋" w:eastAsia="仿宋"/>
          <w:lang w:eastAsia="zh-Hans"/>
        </w:rPr>
        <w:t>.5</w:t>
      </w:r>
      <w:r>
        <w:rPr>
          <w:rFonts w:ascii="仿宋" w:hAnsi="仿宋" w:eastAsia="仿宋"/>
        </w:rPr>
        <w:t xml:space="preserve"> 书写事实与理由。按照</w:t>
      </w:r>
      <w:r>
        <w:rPr>
          <w:rFonts w:hint="eastAsia" w:ascii="仿宋" w:hAnsi="仿宋" w:eastAsia="仿宋"/>
          <w:color w:val="000000" w:themeColor="text1"/>
          <w14:textFill>
            <w14:solidFill>
              <w14:schemeClr w14:val="tx1"/>
            </w14:solidFill>
          </w14:textFill>
        </w:rPr>
        <w:t>撰写</w:t>
      </w:r>
      <w:r>
        <w:rPr>
          <w:rFonts w:ascii="仿宋" w:hAnsi="仿宋" w:eastAsia="仿宋"/>
        </w:rPr>
        <w:t>起诉状通常的逻辑，事实与理由部分</w:t>
      </w:r>
      <w:r>
        <w:rPr>
          <w:rFonts w:hint="eastAsia" w:ascii="仿宋" w:hAnsi="仿宋" w:eastAsia="仿宋"/>
        </w:rPr>
        <w:t>内容</w:t>
      </w:r>
      <w:r>
        <w:rPr>
          <w:rFonts w:ascii="仿宋" w:hAnsi="仿宋" w:eastAsia="仿宋"/>
        </w:rPr>
        <w:t>包括：原告基本情况</w:t>
      </w:r>
      <w:r>
        <w:rPr>
          <w:rFonts w:hint="eastAsia" w:ascii="仿宋" w:hAnsi="仿宋" w:eastAsia="仿宋"/>
        </w:rPr>
        <w:t>、</w:t>
      </w:r>
      <w:r>
        <w:rPr>
          <w:rFonts w:ascii="仿宋" w:hAnsi="仿宋" w:eastAsia="仿宋"/>
        </w:rPr>
        <w:t>原告的商业秘密</w:t>
      </w:r>
      <w:r>
        <w:rPr>
          <w:rFonts w:hint="eastAsia" w:ascii="仿宋" w:hAnsi="仿宋" w:eastAsia="仿宋"/>
        </w:rPr>
        <w:t>、</w:t>
      </w:r>
      <w:r>
        <w:rPr>
          <w:rFonts w:ascii="仿宋" w:hAnsi="仿宋" w:eastAsia="仿宋"/>
        </w:rPr>
        <w:t>原告采取的保密措施</w:t>
      </w:r>
      <w:r>
        <w:rPr>
          <w:rFonts w:hint="eastAsia" w:ascii="仿宋" w:hAnsi="仿宋" w:eastAsia="仿宋"/>
        </w:rPr>
        <w:t>、</w:t>
      </w:r>
      <w:r>
        <w:rPr>
          <w:rFonts w:ascii="仿宋" w:hAnsi="仿宋" w:eastAsia="仿宋"/>
        </w:rPr>
        <w:t>原告与被告（尤其是离职员工）之间的关系</w:t>
      </w:r>
      <w:r>
        <w:rPr>
          <w:rFonts w:hint="eastAsia" w:ascii="仿宋" w:hAnsi="仿宋" w:eastAsia="仿宋"/>
        </w:rPr>
        <w:t>、</w:t>
      </w:r>
      <w:r>
        <w:rPr>
          <w:rFonts w:ascii="仿宋" w:hAnsi="仿宋" w:eastAsia="仿宋"/>
          <w:color w:val="000000" w:themeColor="text1"/>
          <w14:textFill>
            <w14:solidFill>
              <w14:schemeClr w14:val="tx1"/>
            </w14:solidFill>
          </w14:textFill>
        </w:rPr>
        <w:t>被告的侵权</w:t>
      </w:r>
      <w:r>
        <w:rPr>
          <w:rFonts w:hint="eastAsia" w:ascii="仿宋" w:hAnsi="仿宋" w:eastAsia="仿宋"/>
          <w:color w:val="000000" w:themeColor="text1"/>
          <w14:textFill>
            <w14:solidFill>
              <w14:schemeClr w14:val="tx1"/>
            </w14:solidFill>
          </w14:textFill>
        </w:rPr>
        <w:t>为等事实，并对该部分事实展开一定的论述，陈述相应的理由</w:t>
      </w:r>
      <w:r>
        <w:rPr>
          <w:rFonts w:ascii="仿宋" w:hAnsi="仿宋" w:eastAsia="仿宋"/>
          <w:color w:val="000000" w:themeColor="text1"/>
          <w14:textFill>
            <w14:solidFill>
              <w14:schemeClr w14:val="tx1"/>
            </w14:solidFill>
          </w14:textFill>
        </w:rPr>
        <w:t>。</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52</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举证</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bCs/>
        </w:rPr>
      </w:pPr>
      <w:r>
        <w:rPr>
          <w:rFonts w:hint="eastAsia" w:ascii="仿宋" w:hAnsi="仿宋" w:eastAsia="仿宋"/>
          <w:bCs/>
        </w:rPr>
        <w:t>5</w:t>
      </w:r>
      <w:r>
        <w:rPr>
          <w:rFonts w:ascii="仿宋" w:hAnsi="仿宋" w:eastAsia="仿宋"/>
          <w:bCs/>
        </w:rPr>
        <w:t>2.1</w:t>
      </w:r>
      <w:r>
        <w:rPr>
          <w:rFonts w:hint="eastAsia" w:ascii="仿宋" w:hAnsi="仿宋" w:eastAsia="仿宋"/>
          <w:bCs/>
        </w:rPr>
        <w:t xml:space="preserve"> 在诉讼程序中，需在前期证据准备的基础上，进一步对证据作梳理，在庭审中对各类证据进行举证、质证，主要包括商业秘密权属证据、符合商业秘密构成要件的证据、接触类证据、实施侵权行为证据及赔偿证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52</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【权属证据】</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能证明商业秘密权属的证据，包括技术秘密和经营秘密的载体，可以是纸质文件，</w:t>
      </w:r>
      <w:r>
        <w:rPr>
          <w:rFonts w:hint="eastAsia" w:ascii="仿宋" w:hAnsi="仿宋" w:eastAsia="仿宋"/>
          <w:color w:val="000000" w:themeColor="text1"/>
          <w14:textFill>
            <w14:solidFill>
              <w14:schemeClr w14:val="tx1"/>
            </w14:solidFill>
          </w14:textFill>
        </w:rPr>
        <w:t>如图纸形式，也可以用光盘刻录提交。通常，原告出于保密要求，仅提交一份权属载体给法院，并向法院提出不能送达给被告，或要求被告在法院的组织下查看和质证。</w:t>
      </w:r>
      <w:r>
        <w:rPr>
          <w:rFonts w:hint="eastAsia" w:ascii="仿宋" w:hAnsi="仿宋" w:eastAsia="仿宋"/>
        </w:rPr>
        <w:t>（具体可参阅本指引第三章第三节内容）</w:t>
      </w:r>
    </w:p>
    <w:p>
      <w:pPr>
        <w:tabs>
          <w:tab w:val="left" w:pos="709"/>
          <w:tab w:val="left" w:pos="851"/>
          <w:tab w:val="left" w:pos="1134"/>
        </w:tabs>
        <w:spacing w:line="312" w:lineRule="auto"/>
        <w:ind w:left="-2" w:firstLine="500"/>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5</w:t>
      </w:r>
      <w:r>
        <w:rPr>
          <w:rFonts w:ascii="仿宋" w:hAnsi="仿宋" w:eastAsia="仿宋"/>
          <w:bCs/>
          <w:color w:val="000000" w:themeColor="text1"/>
          <w14:textFill>
            <w14:solidFill>
              <w14:schemeClr w14:val="tx1"/>
            </w14:solidFill>
          </w14:textFill>
        </w:rPr>
        <w:t>2.3</w:t>
      </w:r>
      <w:r>
        <w:rPr>
          <w:rFonts w:hint="eastAsia" w:ascii="仿宋" w:hAnsi="仿宋" w:eastAsia="仿宋"/>
          <w:bCs/>
          <w:color w:val="000000" w:themeColor="text1"/>
          <w14:textFill>
            <w14:solidFill>
              <w14:schemeClr w14:val="tx1"/>
            </w14:solidFill>
          </w14:textFill>
        </w:rPr>
        <w:t xml:space="preserve"> 【符合商业秘密构成要件的证据】</w:t>
      </w:r>
    </w:p>
    <w:p>
      <w:pPr>
        <w:tabs>
          <w:tab w:val="left" w:pos="709"/>
          <w:tab w:val="left" w:pos="851"/>
          <w:tab w:val="left" w:pos="1134"/>
        </w:tabs>
        <w:spacing w:line="312" w:lineRule="auto"/>
        <w:ind w:left="-2" w:firstLine="500"/>
        <w:rPr>
          <w:rFonts w:ascii="仿宋" w:hAnsi="仿宋" w:eastAsia="仿宋"/>
          <w:b/>
          <w:color w:val="000000" w:themeColor="text1"/>
          <w14:textFill>
            <w14:solidFill>
              <w14:schemeClr w14:val="tx1"/>
            </w14:solidFill>
          </w14:textFill>
        </w:rPr>
      </w:pPr>
      <w:r>
        <w:rPr>
          <w:rFonts w:hint="eastAsia" w:ascii="仿宋" w:hAnsi="仿宋" w:eastAsia="仿宋"/>
          <w:color w:val="000000" w:themeColor="text1"/>
          <w:lang w:eastAsia="zh-Hans"/>
          <w14:textFill>
            <w14:solidFill>
              <w14:schemeClr w14:val="tx1"/>
            </w14:solidFill>
          </w14:textFill>
        </w:rPr>
        <w:t>商业秘密的基础证据包括；构成</w:t>
      </w:r>
      <w:r>
        <w:rPr>
          <w:rFonts w:hint="eastAsia" w:ascii="仿宋" w:hAnsi="仿宋" w:eastAsia="仿宋"/>
          <w:color w:val="000000" w:themeColor="text1"/>
          <w14:textFill>
            <w14:solidFill>
              <w14:schemeClr w14:val="tx1"/>
            </w14:solidFill>
          </w14:textFill>
        </w:rPr>
        <w:t>商业秘密的证据，不论技术信息还是经营信息，均需举证证明符合商业秘密构成要件，即不为公众所知悉，采取了合理的保密措施以及具有一定的价值。</w:t>
      </w:r>
      <w:r>
        <w:rPr>
          <w:rFonts w:hint="eastAsia" w:ascii="仿宋" w:hAnsi="仿宋" w:eastAsia="仿宋"/>
        </w:rPr>
        <w:t>（具体可参阅本指引第三章第三节内容）</w:t>
      </w:r>
    </w:p>
    <w:p>
      <w:pPr>
        <w:tabs>
          <w:tab w:val="left" w:pos="709"/>
          <w:tab w:val="left" w:pos="851"/>
          <w:tab w:val="left" w:pos="1134"/>
        </w:tabs>
        <w:spacing w:line="312" w:lineRule="auto"/>
        <w:ind w:left="-2" w:firstLine="500"/>
        <w:rPr>
          <w:rFonts w:ascii="仿宋" w:hAnsi="仿宋" w:eastAsia="仿宋"/>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（1）关于不为公众所知悉或秘密性的举证。</w:t>
      </w:r>
      <w:r>
        <w:rPr>
          <w:rFonts w:hint="eastAsia" w:ascii="仿宋" w:hAnsi="仿宋" w:eastAsia="仿宋"/>
          <w:color w:val="000000" w:themeColor="text1"/>
          <w14:textFill>
            <w14:solidFill>
              <w14:schemeClr w14:val="tx1"/>
            </w14:solidFill>
          </w14:textFill>
        </w:rPr>
        <w:t>不为公众所知悉是消极事实，有的法院要求原告举证，例如提交不为公众所知悉的鉴定意见等证据；有的法院则依赖于被告对商业秘密的举证。</w:t>
      </w:r>
    </w:p>
    <w:p>
      <w:pPr>
        <w:tabs>
          <w:tab w:val="left" w:pos="709"/>
          <w:tab w:val="left" w:pos="851"/>
          <w:tab w:val="left" w:pos="1134"/>
        </w:tabs>
        <w:spacing w:line="312" w:lineRule="auto"/>
        <w:ind w:left="-2" w:firstLine="500"/>
        <w:rPr>
          <w:rFonts w:ascii="仿宋" w:hAnsi="仿宋" w:eastAsia="仿宋"/>
          <w:color w:val="000000" w:themeColor="text1"/>
          <w14:textFill>
            <w14:solidFill>
              <w14:schemeClr w14:val="tx1"/>
            </w14:solidFill>
          </w14:textFill>
        </w:rPr>
      </w:pPr>
      <w:r>
        <w:rPr>
          <w:rFonts w:ascii="仿宋" w:hAnsi="仿宋" w:eastAsia="仿宋"/>
          <w:b/>
          <w:bCs/>
          <w:color w:val="000000" w:themeColor="text1"/>
          <w14:textFill>
            <w14:solidFill>
              <w14:schemeClr w14:val="tx1"/>
            </w14:solidFill>
          </w14:textFill>
        </w:rPr>
        <w:t>【法律规定】</w:t>
      </w:r>
      <w:r>
        <w:rPr>
          <w:rFonts w:ascii="仿宋" w:hAnsi="仿宋" w:eastAsia="仿宋"/>
          <w:color w:val="000000" w:themeColor="text1"/>
          <w14:textFill>
            <w14:solidFill>
              <w14:schemeClr w14:val="tx1"/>
            </w14:solidFill>
          </w14:textFill>
        </w:rPr>
        <w:t>《最高人民法院关于审理侵犯商业秘密民事案件适用法律若干问题的规定》第三条</w:t>
      </w:r>
      <w:r>
        <w:rPr>
          <w:rFonts w:ascii="Calibri" w:hAnsi="Calibri" w:eastAsia="仿宋" w:cs="Calibri"/>
          <w:color w:val="000000" w:themeColor="text1"/>
          <w14:textFill>
            <w14:solidFill>
              <w14:schemeClr w14:val="tx1"/>
            </w14:solidFill>
          </w14:textFill>
        </w:rPr>
        <w:t>  </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第四条</w:t>
      </w:r>
      <w:r>
        <w:rPr>
          <w:rFonts w:hint="eastAsia" w:ascii="仿宋" w:hAnsi="仿宋" w:eastAsia="仿宋"/>
          <w:color w:val="000000" w:themeColor="text1"/>
          <w14:textFill>
            <w14:solidFill>
              <w14:schemeClr w14:val="tx1"/>
            </w14:solidFill>
          </w14:textFill>
        </w:rPr>
        <w:t>。</w:t>
      </w:r>
    </w:p>
    <w:p>
      <w:pPr>
        <w:tabs>
          <w:tab w:val="left" w:pos="709"/>
          <w:tab w:val="left" w:pos="851"/>
          <w:tab w:val="left" w:pos="1134"/>
        </w:tabs>
        <w:spacing w:line="312" w:lineRule="auto"/>
        <w:ind w:left="-2" w:firstLine="500"/>
        <w:rPr>
          <w:rFonts w:ascii="仿宋" w:hAnsi="仿宋" w:eastAsia="仿宋"/>
          <w:u w:val="single"/>
        </w:rPr>
      </w:pPr>
      <w:r>
        <w:rPr>
          <w:rFonts w:ascii="仿宋" w:hAnsi="仿宋" w:eastAsia="仿宋"/>
        </w:rPr>
        <w:t>（2）关于保密措施的举证。保密措施证据包括了保密制度，保密协议，外采保密系统等。</w:t>
      </w:r>
      <w:r>
        <w:rPr>
          <w:rFonts w:hint="eastAsia" w:ascii="仿宋" w:hAnsi="仿宋" w:eastAsia="仿宋"/>
        </w:rPr>
        <w:t>（具体可参阅本指引第三章第三节内容）。</w:t>
      </w:r>
    </w:p>
    <w:p>
      <w:pPr>
        <w:tabs>
          <w:tab w:val="left" w:pos="709"/>
          <w:tab w:val="left" w:pos="851"/>
          <w:tab w:val="left" w:pos="1134"/>
        </w:tabs>
        <w:spacing w:line="312" w:lineRule="auto"/>
        <w:ind w:left="-2" w:firstLine="500"/>
        <w:rPr>
          <w:rFonts w:ascii="Calibri" w:hAnsi="Calibri" w:eastAsia="仿宋" w:cs="Calibri"/>
        </w:rPr>
      </w:pPr>
      <w:r>
        <w:rPr>
          <w:rFonts w:ascii="仿宋" w:hAnsi="仿宋" w:eastAsia="仿宋"/>
          <w:b/>
          <w:bCs/>
        </w:rPr>
        <w:t>【法律规定】</w:t>
      </w:r>
      <w:r>
        <w:rPr>
          <w:rFonts w:ascii="仿宋" w:hAnsi="仿宋" w:eastAsia="仿宋"/>
        </w:rPr>
        <w:t>《最高人民法院关于审理侵犯商业秘密民事案件适用法律若干问题的规定》第五条</w:t>
      </w:r>
      <w:r>
        <w:rPr>
          <w:rFonts w:hint="eastAsia" w:ascii="仿宋" w:hAnsi="仿宋" w:eastAsia="仿宋"/>
        </w:rPr>
        <w:t>、</w:t>
      </w:r>
      <w:r>
        <w:rPr>
          <w:rFonts w:ascii="仿宋" w:hAnsi="仿宋" w:eastAsia="仿宋"/>
        </w:rPr>
        <w:t>第六条</w:t>
      </w:r>
      <w:r>
        <w:rPr>
          <w:rFonts w:ascii="Calibri" w:hAnsi="Calibri" w:eastAsia="仿宋" w:cs="Calibri"/>
        </w:rPr>
        <w:t> </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w:t>
      </w:r>
      <w:r>
        <w:rPr>
          <w:rFonts w:ascii="仿宋" w:hAnsi="仿宋" w:eastAsia="仿宋"/>
        </w:rPr>
        <w:t>3）关于商业秘密的价值举证。</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【法律规定】《最高人民法院关于审理侵犯商业秘密民事案件适用法律若干问题的规定》第七条。</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52</w:t>
      </w:r>
      <w:r>
        <w:rPr>
          <w:rFonts w:hint="eastAsia" w:ascii="仿宋" w:hAnsi="仿宋" w:eastAsia="仿宋"/>
          <w:lang w:eastAsia="zh-Hans"/>
        </w:rPr>
        <w:t>.</w:t>
      </w:r>
      <w:r>
        <w:rPr>
          <w:rFonts w:ascii="仿宋" w:hAnsi="仿宋" w:eastAsia="仿宋"/>
          <w:lang w:eastAsia="zh-Hans"/>
        </w:rPr>
        <w:t>4</w:t>
      </w:r>
      <w:r>
        <w:rPr>
          <w:rFonts w:ascii="仿宋" w:hAnsi="仿宋" w:eastAsia="仿宋"/>
        </w:rPr>
        <w:t xml:space="preserve"> </w:t>
      </w:r>
      <w:r>
        <w:rPr>
          <w:rFonts w:hint="eastAsia" w:ascii="仿宋" w:hAnsi="仿宋" w:eastAsia="仿宋"/>
        </w:rPr>
        <w:t>【接触/关系证据】</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这里的证据主要包括原告与离职员工之间的劳动合同、保密协议、离职文件，围绕被告曾接触过原告的商业秘密组织证据。（具体可参阅本指引第三章第三节内容）</w:t>
      </w:r>
    </w:p>
    <w:p>
      <w:pPr>
        <w:tabs>
          <w:tab w:val="left" w:pos="709"/>
          <w:tab w:val="left" w:pos="851"/>
          <w:tab w:val="left" w:pos="1134"/>
        </w:tabs>
        <w:spacing w:line="312" w:lineRule="auto"/>
        <w:ind w:left="-2" w:firstLine="482" w:firstLineChars="200"/>
        <w:rPr>
          <w:rFonts w:ascii="仿宋" w:hAnsi="仿宋" w:eastAsia="仿宋"/>
        </w:rPr>
      </w:pPr>
      <w:r>
        <w:rPr>
          <w:rFonts w:ascii="仿宋" w:hAnsi="仿宋" w:eastAsia="仿宋"/>
          <w:b/>
          <w:bCs/>
        </w:rPr>
        <w:t>【法律规定】</w:t>
      </w:r>
      <w:r>
        <w:rPr>
          <w:rFonts w:ascii="仿宋" w:hAnsi="仿宋" w:eastAsia="仿宋"/>
        </w:rPr>
        <w:t>《最高人民法院关于审理侵犯商业秘密民事案件适用法律若干问题的规定》第十二条</w:t>
      </w:r>
      <w:r>
        <w:rPr>
          <w:rFonts w:ascii="Calibri" w:hAnsi="Calibri" w:eastAsia="仿宋" w:cs="Calibri"/>
        </w:rPr>
        <w:t> </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52</w:t>
      </w:r>
      <w:r>
        <w:rPr>
          <w:rFonts w:ascii="仿宋" w:hAnsi="仿宋" w:eastAsia="仿宋"/>
          <w:lang w:eastAsia="zh-Hans"/>
        </w:rPr>
        <w:t>.5</w:t>
      </w:r>
      <w:r>
        <w:rPr>
          <w:rFonts w:ascii="仿宋" w:hAnsi="仿宋" w:eastAsia="仿宋"/>
        </w:rPr>
        <w:t xml:space="preserve"> </w:t>
      </w:r>
      <w:r>
        <w:rPr>
          <w:rFonts w:hint="eastAsia" w:ascii="仿宋" w:hAnsi="仿宋" w:eastAsia="仿宋"/>
        </w:rPr>
        <w:t>【实施</w:t>
      </w:r>
      <w:r>
        <w:rPr>
          <w:rFonts w:ascii="仿宋" w:hAnsi="仿宋" w:eastAsia="仿宋"/>
        </w:rPr>
        <w:t>侵权</w:t>
      </w:r>
      <w:r>
        <w:rPr>
          <w:rFonts w:hint="eastAsia" w:ascii="仿宋" w:hAnsi="仿宋" w:eastAsia="仿宋"/>
        </w:rPr>
        <w:t>行为</w:t>
      </w:r>
      <w:r>
        <w:rPr>
          <w:rFonts w:ascii="仿宋" w:hAnsi="仿宋" w:eastAsia="仿宋"/>
        </w:rPr>
        <w:t>证据</w:t>
      </w:r>
      <w:r>
        <w:rPr>
          <w:rFonts w:hint="eastAsia"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侵权</w:t>
      </w:r>
      <w:r>
        <w:rPr>
          <w:rFonts w:hint="eastAsia" w:ascii="仿宋" w:hAnsi="仿宋" w:eastAsia="仿宋"/>
        </w:rPr>
        <w:t>行为</w:t>
      </w:r>
      <w:r>
        <w:rPr>
          <w:rFonts w:ascii="仿宋" w:hAnsi="仿宋" w:eastAsia="仿宋"/>
        </w:rPr>
        <w:t>证据多样化，</w:t>
      </w:r>
      <w:r>
        <w:rPr>
          <w:rFonts w:hint="eastAsia" w:ascii="仿宋" w:hAnsi="仿宋" w:eastAsia="仿宋"/>
        </w:rPr>
        <w:t>例</w:t>
      </w:r>
      <w:r>
        <w:rPr>
          <w:rFonts w:ascii="仿宋" w:hAnsi="仿宋" w:eastAsia="仿宋"/>
        </w:rPr>
        <w:t>如被告利用原告技术申请了专利，被告利用原告技术制造了产品，被告与原告的客户进行交易等。</w:t>
      </w:r>
      <w:r>
        <w:rPr>
          <w:rFonts w:hint="eastAsia" w:ascii="仿宋" w:hAnsi="仿宋" w:eastAsia="仿宋"/>
        </w:rPr>
        <w:t>（具体可参阅本指引第三章第三节内容）</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52</w:t>
      </w:r>
      <w:r>
        <w:rPr>
          <w:rFonts w:ascii="仿宋" w:hAnsi="仿宋" w:eastAsia="仿宋"/>
          <w:lang w:eastAsia="zh-Hans"/>
        </w:rPr>
        <w:t xml:space="preserve">.6 </w:t>
      </w:r>
      <w:r>
        <w:rPr>
          <w:rFonts w:hint="eastAsia" w:ascii="仿宋" w:hAnsi="仿宋" w:eastAsia="仿宋"/>
        </w:rPr>
        <w:t xml:space="preserve"> 【赔</w:t>
      </w:r>
      <w:r>
        <w:rPr>
          <w:rFonts w:ascii="仿宋" w:hAnsi="仿宋" w:eastAsia="仿宋"/>
        </w:rPr>
        <w:t>偿</w:t>
      </w:r>
      <w:r>
        <w:rPr>
          <w:rFonts w:hint="eastAsia" w:ascii="仿宋" w:hAnsi="仿宋" w:eastAsia="仿宋"/>
        </w:rPr>
        <w:t>（损失）</w:t>
      </w:r>
      <w:r>
        <w:rPr>
          <w:rFonts w:ascii="仿宋" w:hAnsi="仿宋" w:eastAsia="仿宋"/>
        </w:rPr>
        <w:t>证据</w:t>
      </w:r>
      <w:r>
        <w:rPr>
          <w:rFonts w:hint="eastAsia"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这类案件，原告举证赔偿数额非常困难。但可以通过举证其他数据来证明被告的获利，包括举证网络报道的被告的经营额，销售额，增长率，以及行业的平均利润率等</w:t>
      </w:r>
      <w:r>
        <w:rPr>
          <w:rFonts w:hint="eastAsia" w:ascii="仿宋" w:hAnsi="仿宋" w:eastAsia="仿宋"/>
        </w:rPr>
        <w:t>，例如以下证据（具体可参阅本指引第三章第三节内容）：</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（1）</w:t>
      </w:r>
      <w:r>
        <w:rPr>
          <w:rFonts w:hint="eastAsia" w:ascii="仿宋" w:hAnsi="仿宋" w:eastAsia="仿宋"/>
          <w:color w:val="000000" w:themeColor="text1"/>
          <w14:textFill>
            <w14:solidFill>
              <w14:schemeClr w14:val="tx1"/>
            </w14:solidFill>
          </w14:textFill>
        </w:rPr>
        <w:t>包括但</w:t>
      </w:r>
      <w:r>
        <w:rPr>
          <w:rFonts w:ascii="仿宋" w:hAnsi="仿宋" w:eastAsia="仿宋"/>
          <w:color w:val="000000" w:themeColor="text1"/>
          <w14:textFill>
            <w14:solidFill>
              <w14:schemeClr w14:val="tx1"/>
            </w14:solidFill>
          </w14:textFill>
        </w:rPr>
        <w:t>不限于各项研发成本费用的支付、支出凭证。</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（2）损失的评估或审计报告。</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（3）对于技术开发合同而言，不限于研发资金的投入或者技术开发费用的支付损失。</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（4）对于技术秘密的转让（让与）许可使用而言，损失可以为因延迟支付约定许可使用费的利息损失，或者已经支付的许可使用费及其利息损失。</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（5）对于《反不正当竞争法》第</w:t>
      </w:r>
      <w:r>
        <w:rPr>
          <w:rFonts w:hint="eastAsia" w:ascii="仿宋" w:hAnsi="仿宋" w:eastAsia="仿宋"/>
          <w:color w:val="000000" w:themeColor="text1"/>
          <w14:textFill>
            <w14:solidFill>
              <w14:schemeClr w14:val="tx1"/>
            </w14:solidFill>
          </w14:textFill>
        </w:rPr>
        <w:t>十</w:t>
      </w:r>
      <w:r>
        <w:rPr>
          <w:rFonts w:ascii="仿宋" w:hAnsi="仿宋" w:eastAsia="仿宋"/>
          <w:color w:val="000000" w:themeColor="text1"/>
          <w14:textFill>
            <w14:solidFill>
              <w14:schemeClr w14:val="tx1"/>
            </w14:solidFill>
          </w14:textFill>
        </w:rPr>
        <w:t>条第</w:t>
      </w:r>
      <w:r>
        <w:rPr>
          <w:rFonts w:hint="eastAsia" w:ascii="仿宋" w:hAnsi="仿宋" w:eastAsia="仿宋"/>
          <w:color w:val="000000" w:themeColor="text1"/>
          <w14:textFill>
            <w14:solidFill>
              <w14:schemeClr w14:val="tx1"/>
            </w14:solidFill>
          </w14:textFill>
        </w:rPr>
        <w:t>一</w:t>
      </w:r>
      <w:r>
        <w:rPr>
          <w:rFonts w:ascii="仿宋" w:hAnsi="仿宋" w:eastAsia="仿宋"/>
          <w:color w:val="000000" w:themeColor="text1"/>
          <w14:textFill>
            <w14:solidFill>
              <w14:schemeClr w14:val="tx1"/>
            </w14:solidFill>
          </w14:textFill>
        </w:rPr>
        <w:t>款第三项规定的行为而言，赔偿损失的证据可以参照本指引相关内容举证。</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（6）当技术（经营）信息为单位有形载体的一部分时，应当合理确定该技术（经营）信息在该有形载体整体价值中的占比</w:t>
      </w:r>
      <w:r>
        <w:rPr>
          <w:rFonts w:hint="eastAsia" w:ascii="仿宋" w:hAnsi="仿宋" w:eastAsia="仿宋"/>
          <w:color w:val="000000" w:themeColor="text1"/>
          <w14:textFill>
            <w14:solidFill>
              <w14:schemeClr w14:val="tx1"/>
            </w14:solidFill>
          </w14:textFill>
        </w:rPr>
        <w:t>，以</w:t>
      </w:r>
      <w:r>
        <w:rPr>
          <w:rFonts w:ascii="仿宋" w:hAnsi="仿宋" w:eastAsia="仿宋"/>
          <w:color w:val="000000" w:themeColor="text1"/>
          <w14:textFill>
            <w14:solidFill>
              <w14:schemeClr w14:val="tx1"/>
            </w14:solidFill>
          </w14:textFill>
        </w:rPr>
        <w:t>确定其价值，并以此作为评估损失的基础。</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《最高人民法院关于审理侵犯商业秘密民事案件适用法律若干问题的规定》第二十条</w:t>
      </w:r>
      <w:r>
        <w:rPr>
          <w:rFonts w:ascii="Calibri" w:hAnsi="Calibri" w:eastAsia="仿宋" w:cs="Calibri"/>
        </w:rPr>
        <w:t> </w:t>
      </w:r>
      <w:r>
        <w:rPr>
          <w:rFonts w:hint="eastAsia" w:ascii="仿宋" w:hAnsi="仿宋" w:eastAsia="仿宋"/>
        </w:rPr>
        <w:t>。</w:t>
      </w:r>
      <w:r>
        <w:rPr>
          <w:rFonts w:ascii="仿宋" w:hAnsi="仿宋" w:eastAsia="仿宋"/>
        </w:rPr>
        <w:t xml:space="preserve"> </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52</w:t>
      </w:r>
      <w:r>
        <w:rPr>
          <w:rFonts w:ascii="仿宋" w:hAnsi="仿宋" w:eastAsia="仿宋"/>
          <w:lang w:eastAsia="zh-Hans"/>
        </w:rPr>
        <w:t>.7</w:t>
      </w:r>
      <w:r>
        <w:rPr>
          <w:rFonts w:hint="eastAsia" w:ascii="仿宋" w:hAnsi="仿宋" w:eastAsia="仿宋"/>
        </w:rPr>
        <w:t xml:space="preserve"> 【</w:t>
      </w:r>
      <w:r>
        <w:rPr>
          <w:rFonts w:ascii="仿宋" w:hAnsi="仿宋" w:eastAsia="仿宋"/>
        </w:rPr>
        <w:t>惩罚性赔偿</w:t>
      </w:r>
      <w:r>
        <w:rPr>
          <w:rFonts w:hint="eastAsia" w:ascii="仿宋" w:hAnsi="仿宋" w:eastAsia="仿宋"/>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不正当竞争案件中，商业秘密侵权纠纷可以主张惩罚性赔偿。</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《反不正当竞争法》第十七条</w:t>
      </w:r>
      <w:r>
        <w:rPr>
          <w:rFonts w:hint="eastAsia" w:ascii="仿宋" w:hAnsi="仿宋" w:eastAsia="仿宋"/>
        </w:rPr>
        <w:t>，</w:t>
      </w:r>
      <w:r>
        <w:rPr>
          <w:rFonts w:ascii="仿宋" w:hAnsi="仿宋" w:eastAsia="仿宋"/>
        </w:rPr>
        <w:t>《最高人民法院关于审理侵害知识产权民事案件适用惩罚性赔偿的解释》第一条</w:t>
      </w:r>
      <w:r>
        <w:rPr>
          <w:rFonts w:ascii="Calibri" w:hAnsi="Calibri" w:eastAsia="仿宋" w:cs="Calibri"/>
        </w:rPr>
        <w:t> </w:t>
      </w:r>
      <w:r>
        <w:rPr>
          <w:rFonts w:ascii="仿宋" w:hAnsi="仿宋" w:eastAsia="仿宋"/>
        </w:rPr>
        <w:t>。</w:t>
      </w:r>
    </w:p>
    <w:p>
      <w:pPr>
        <w:tabs>
          <w:tab w:val="left" w:pos="709"/>
          <w:tab w:val="left" w:pos="851"/>
          <w:tab w:val="left" w:pos="1134"/>
        </w:tabs>
        <w:spacing w:line="312" w:lineRule="auto"/>
        <w:ind w:left="-2" w:firstLine="500"/>
        <w:jc w:val="both"/>
        <w:rPr>
          <w:rFonts w:ascii="仿宋" w:hAnsi="仿宋" w:eastAsia="仿宋"/>
          <w:b/>
          <w:bCs/>
        </w:rPr>
      </w:pPr>
      <w:r>
        <w:rPr>
          <w:rFonts w:ascii="仿宋" w:hAnsi="仿宋" w:eastAsia="仿宋"/>
          <w:b/>
          <w:bCs/>
        </w:rPr>
        <w:t>【典型案例】</w:t>
      </w:r>
    </w:p>
    <w:p>
      <w:pPr>
        <w:tabs>
          <w:tab w:val="left" w:pos="709"/>
          <w:tab w:val="left" w:pos="851"/>
          <w:tab w:val="left" w:pos="1134"/>
        </w:tabs>
        <w:spacing w:line="312" w:lineRule="auto"/>
        <w:ind w:left="-2" w:firstLine="500"/>
        <w:jc w:val="both"/>
        <w:rPr>
          <w:rFonts w:ascii="仿宋" w:hAnsi="仿宋" w:eastAsia="仿宋"/>
        </w:rPr>
      </w:pPr>
      <w:r>
        <w:rPr>
          <w:rFonts w:hint="eastAsia" w:ascii="仿宋" w:hAnsi="仿宋" w:eastAsia="仿宋"/>
          <w:b/>
          <w:bCs/>
        </w:rPr>
        <w:t>（1）</w:t>
      </w:r>
      <w:r>
        <w:rPr>
          <w:rFonts w:ascii="仿宋" w:hAnsi="仿宋" w:eastAsia="仿宋"/>
        </w:rPr>
        <w:t>最高人民法院（2019）最高法知民终562号民事判决【最高人民法院发布7件人民法院充分发挥审判职能作用保护产权和企业家合法权益典型案例（第三批）之四】</w:t>
      </w:r>
    </w:p>
    <w:p>
      <w:pPr>
        <w:tabs>
          <w:tab w:val="left" w:pos="709"/>
          <w:tab w:val="left" w:pos="851"/>
          <w:tab w:val="left" w:pos="1134"/>
        </w:tabs>
        <w:spacing w:line="312" w:lineRule="auto"/>
        <w:ind w:left="-2" w:firstLine="500"/>
        <w:jc w:val="both"/>
        <w:rPr>
          <w:rFonts w:ascii="仿宋" w:hAnsi="仿宋" w:eastAsia="仿宋"/>
        </w:rPr>
      </w:pPr>
      <w:r>
        <w:rPr>
          <w:rFonts w:hint="eastAsia" w:ascii="仿宋" w:hAnsi="仿宋" w:eastAsia="仿宋"/>
        </w:rPr>
        <w:t>（2）</w:t>
      </w:r>
      <w:r>
        <w:rPr>
          <w:rFonts w:ascii="仿宋" w:hAnsi="仿宋" w:eastAsia="仿宋"/>
        </w:rPr>
        <w:t>重庆市第五中级人民法院（2019）渝05民初1225号民事判决</w:t>
      </w:r>
      <w:r>
        <w:rPr>
          <w:rFonts w:hint="eastAsia" w:ascii="仿宋" w:hAnsi="仿宋" w:eastAsia="仿宋"/>
        </w:rPr>
        <w:t>【</w:t>
      </w:r>
      <w:r>
        <w:rPr>
          <w:rFonts w:ascii="仿宋" w:hAnsi="仿宋" w:eastAsia="仿宋"/>
        </w:rPr>
        <w:t>重庆法院2019年知识产权司法保护十大典型案例</w:t>
      </w:r>
      <w:r>
        <w:rPr>
          <w:rFonts w:hint="eastAsia" w:ascii="仿宋" w:hAnsi="仿宋" w:eastAsia="仿宋"/>
        </w:rPr>
        <w:t>】</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53</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证据保全申请书或调查取证申请书</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53</w:t>
      </w:r>
      <w:r>
        <w:rPr>
          <w:rFonts w:hint="eastAsia" w:ascii="仿宋" w:hAnsi="仿宋" w:eastAsia="仿宋"/>
          <w:lang w:eastAsia="zh-Hans"/>
        </w:rPr>
        <w:t>.</w:t>
      </w:r>
      <w:r>
        <w:rPr>
          <w:rFonts w:ascii="仿宋" w:hAnsi="仿宋" w:eastAsia="仿宋"/>
          <w:lang w:eastAsia="zh-Hans"/>
        </w:rPr>
        <w:t>1</w:t>
      </w:r>
      <w:r>
        <w:rPr>
          <w:rFonts w:ascii="仿宋" w:hAnsi="仿宋" w:eastAsia="仿宋"/>
        </w:rPr>
        <w:t xml:space="preserve"> </w:t>
      </w:r>
      <w:r>
        <w:rPr>
          <w:rFonts w:hint="eastAsia" w:ascii="仿宋" w:hAnsi="仿宋" w:eastAsia="仿宋"/>
        </w:rPr>
        <w:t>商业秘密侵权证据难以取得，多数案件有赖于法院的证据保全。证据保全的内容，可以是申请法院到被告处保全技术图纸，也可以是申请法院到海关调取进出口记录等。证据保全，有些法院会要求原告提供担保金或其他担保。</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53</w:t>
      </w:r>
      <w:r>
        <w:rPr>
          <w:rFonts w:hint="eastAsia" w:ascii="仿宋" w:hAnsi="仿宋" w:eastAsia="仿宋"/>
          <w:lang w:eastAsia="zh-Hans"/>
        </w:rPr>
        <w:t>.</w:t>
      </w:r>
      <w:r>
        <w:rPr>
          <w:rFonts w:ascii="仿宋" w:hAnsi="仿宋" w:eastAsia="仿宋"/>
          <w:lang w:eastAsia="zh-Hans"/>
        </w:rPr>
        <w:t>2</w:t>
      </w:r>
      <w:r>
        <w:rPr>
          <w:rFonts w:ascii="仿宋" w:hAnsi="仿宋" w:eastAsia="仿宋"/>
        </w:rPr>
        <w:t xml:space="preserve"> </w:t>
      </w:r>
      <w:r>
        <w:rPr>
          <w:rFonts w:hint="eastAsia" w:ascii="仿宋" w:hAnsi="仿宋" w:eastAsia="仿宋"/>
          <w:color w:val="000000" w:themeColor="text1"/>
          <w14:textFill>
            <w14:solidFill>
              <w14:schemeClr w14:val="tx1"/>
            </w14:solidFill>
          </w14:textFill>
        </w:rPr>
        <w:t>在部</w:t>
      </w:r>
      <w:r>
        <w:rPr>
          <w:rFonts w:hint="eastAsia" w:ascii="仿宋" w:hAnsi="仿宋" w:eastAsia="仿宋"/>
        </w:rPr>
        <w:t>分案件中，侵害商业秘密的证据可能存储于第三方，例如涉嫌侵害商业秘密的软件存储于阿里云，或在软著中心登记，原告也需要申请法院开具调查令，由承办律师持调查令调取；部分机构也接受法院直接寄送的调查函，然后将证据直接寄给法院。</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54</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财产保全申请书</w:t>
      </w:r>
      <w:r>
        <w:rPr>
          <w:rFonts w:ascii="仿宋" w:hAnsi="仿宋" w:eastAsia="仿宋"/>
          <w:b/>
          <w:bCs/>
        </w:rPr>
        <w:t>】</w:t>
      </w:r>
    </w:p>
    <w:p>
      <w:pPr>
        <w:tabs>
          <w:tab w:val="left" w:pos="709"/>
          <w:tab w:val="left" w:pos="851"/>
          <w:tab w:val="left" w:pos="1134"/>
        </w:tabs>
        <w:spacing w:line="312" w:lineRule="auto"/>
        <w:jc w:val="both"/>
        <w:rPr>
          <w:rFonts w:ascii="仿宋" w:hAnsi="仿宋" w:eastAsia="仿宋"/>
        </w:rPr>
      </w:pPr>
      <w:r>
        <w:rPr>
          <w:rFonts w:ascii="仿宋" w:hAnsi="仿宋" w:eastAsia="仿宋"/>
        </w:rPr>
        <w:t xml:space="preserve">    </w:t>
      </w:r>
      <w:r>
        <w:rPr>
          <w:rFonts w:hint="eastAsia" w:ascii="仿宋" w:hAnsi="仿宋" w:eastAsia="仿宋"/>
        </w:rPr>
        <w:t>同其他知识产权案件类似，原告可以在商业秘密案件中，申请对被告做财产保全。原告申请做财产保全的标的，一般是与诉讼请求标的相同。但财产保全，法院会要求原告提供担保，或现金担保，或保函等，若要求提供的现金担保比例</w:t>
      </w:r>
      <w:r>
        <w:rPr>
          <w:rFonts w:hint="eastAsia" w:ascii="仿宋" w:hAnsi="仿宋" w:eastAsia="仿宋"/>
          <w:color w:val="000000" w:themeColor="text1"/>
          <w14:textFill>
            <w14:solidFill>
              <w14:schemeClr w14:val="tx1"/>
            </w14:solidFill>
          </w14:textFill>
        </w:rPr>
        <w:t>较</w:t>
      </w:r>
      <w:r>
        <w:rPr>
          <w:rFonts w:hint="eastAsia" w:ascii="仿宋" w:hAnsi="仿宋" w:eastAsia="仿宋"/>
        </w:rPr>
        <w:t>高或全额现金担保，原告就要考虑申请财产保全的数额。实践中，原告若提出高额的财产保全标的，法院有可能只允许保全一部分，不会全额保全。</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55</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商业秘密侵权的诉讼禁令</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2</w:t>
      </w:r>
      <w:r>
        <w:rPr>
          <w:rFonts w:ascii="仿宋" w:hAnsi="仿宋" w:eastAsia="仿宋"/>
        </w:rPr>
        <w:t>019</w:t>
      </w:r>
      <w:r>
        <w:rPr>
          <w:rFonts w:hint="eastAsia" w:ascii="仿宋" w:hAnsi="仿宋" w:eastAsia="仿宋"/>
        </w:rPr>
        <w:t>年1月1日《最高人民法院关于审查知识产权纠纷行为保全案件适用法律若干问题的规定》实施，知识产权类案件可以在法院判决裁定生效之前，申请行为保全。</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《最高人民法院关于审理侵犯商业秘密民事案件适用法律若干问题的规定》第十五条</w:t>
      </w:r>
      <w:r>
        <w:rPr>
          <w:rFonts w:ascii="Calibri" w:hAnsi="Calibri" w:eastAsia="仿宋" w:cs="Calibri"/>
        </w:rPr>
        <w:t>  </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56</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委托代理手续</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律师代理案件，应提交给法院的委托手续包括：原告的身份证明资料、被告的身份证明资料、原告法定代表人身份证明书、原告法定代表人身份证复印件、授权委托书、律师事务所函、律师执业证复印件。</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57</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举证责任</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color w:val="000000" w:themeColor="text1"/>
          <w14:textFill>
            <w14:solidFill>
              <w14:schemeClr w14:val="tx1"/>
            </w14:solidFill>
          </w14:textFill>
        </w:rPr>
      </w:pPr>
      <w:r>
        <w:rPr>
          <w:rFonts w:ascii="仿宋" w:hAnsi="仿宋" w:eastAsia="仿宋"/>
        </w:rPr>
        <w:t>57</w:t>
      </w:r>
      <w:r>
        <w:rPr>
          <w:rFonts w:hint="eastAsia" w:ascii="仿宋" w:hAnsi="仿宋" w:eastAsia="仿宋"/>
          <w:lang w:eastAsia="zh-Hans"/>
        </w:rPr>
        <w:t>.</w:t>
      </w:r>
      <w:r>
        <w:rPr>
          <w:rFonts w:ascii="仿宋" w:hAnsi="仿宋" w:eastAsia="仿宋"/>
          <w:lang w:eastAsia="zh-Hans"/>
        </w:rPr>
        <w:t>1</w:t>
      </w:r>
      <w:r>
        <w:rPr>
          <w:rFonts w:hint="eastAsia" w:ascii="仿宋" w:hAnsi="仿宋" w:eastAsia="仿宋"/>
        </w:rPr>
        <w:t xml:space="preserve"> 【</w:t>
      </w:r>
      <w:r>
        <w:rPr>
          <w:rFonts w:hint="eastAsia" w:ascii="仿宋" w:hAnsi="仿宋" w:eastAsia="仿宋"/>
          <w:color w:val="000000" w:themeColor="text1"/>
          <w:lang w:eastAsia="zh-Hans"/>
          <w14:textFill>
            <w14:solidFill>
              <w14:schemeClr w14:val="tx1"/>
            </w14:solidFill>
          </w14:textFill>
        </w:rPr>
        <w:t>关于构成</w:t>
      </w:r>
      <w:r>
        <w:rPr>
          <w:rFonts w:hint="eastAsia" w:ascii="仿宋" w:hAnsi="仿宋" w:eastAsia="仿宋"/>
          <w:color w:val="000000" w:themeColor="text1"/>
          <w14:textFill>
            <w14:solidFill>
              <w14:schemeClr w14:val="tx1"/>
            </w14:solidFill>
          </w14:textFill>
        </w:rPr>
        <w:t>商业秘密的举证责任】</w:t>
      </w:r>
    </w:p>
    <w:p>
      <w:pPr>
        <w:tabs>
          <w:tab w:val="left" w:pos="709"/>
          <w:tab w:val="left" w:pos="851"/>
          <w:tab w:val="left" w:pos="1134"/>
        </w:tabs>
        <w:spacing w:line="312" w:lineRule="auto"/>
        <w:ind w:left="-2" w:firstLine="50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根据2017年修订后的《反不正当竞争法》的规定，原告进行初步举证后，法院可以将举证责任分配给被告，适当减轻了原告的举证责任。</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《反不正当竞争法》第三十二条第一款。</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57</w:t>
      </w:r>
      <w:r>
        <w:rPr>
          <w:rFonts w:ascii="仿宋" w:hAnsi="仿宋" w:eastAsia="仿宋"/>
          <w:lang w:eastAsia="zh-Hans"/>
        </w:rPr>
        <w:t xml:space="preserve">.2 </w:t>
      </w:r>
      <w:r>
        <w:rPr>
          <w:rFonts w:hint="eastAsia" w:ascii="仿宋" w:hAnsi="仿宋" w:eastAsia="仿宋"/>
        </w:rPr>
        <w:t>【</w:t>
      </w:r>
      <w:r>
        <w:rPr>
          <w:rFonts w:hint="eastAsia" w:ascii="仿宋" w:hAnsi="仿宋" w:eastAsia="仿宋"/>
          <w:color w:val="000000" w:themeColor="text1"/>
          <w:lang w:eastAsia="zh-Hans"/>
          <w14:textFill>
            <w14:solidFill>
              <w14:schemeClr w14:val="tx1"/>
            </w14:solidFill>
          </w14:textFill>
        </w:rPr>
        <w:t>关于</w:t>
      </w:r>
      <w:r>
        <w:rPr>
          <w:rFonts w:ascii="仿宋" w:hAnsi="仿宋" w:eastAsia="仿宋"/>
        </w:rPr>
        <w:t>侵权责任的举证责任倒置】</w:t>
      </w:r>
    </w:p>
    <w:p>
      <w:p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商业秘密权利人提供初步证据合理表明商业秘密被侵犯，且提供以下证据之一的，涉嫌侵权人应当证明其不存在侵犯商业秘密的行为：</w:t>
      </w:r>
    </w:p>
    <w:p>
      <w:pPr>
        <w:tabs>
          <w:tab w:val="left" w:pos="709"/>
          <w:tab w:val="left" w:pos="851"/>
          <w:tab w:val="left" w:pos="1134"/>
        </w:tabs>
        <w:spacing w:line="312" w:lineRule="auto"/>
        <w:ind w:left="-2" w:firstLine="500"/>
        <w:rPr>
          <w:rFonts w:ascii="仿宋" w:hAnsi="仿宋" w:eastAsia="仿宋"/>
          <w:bCs/>
        </w:rPr>
      </w:pPr>
      <w:r>
        <w:rPr>
          <w:rFonts w:hint="eastAsia" w:ascii="仿宋" w:hAnsi="仿宋" w:eastAsia="仿宋"/>
          <w:bCs/>
        </w:rPr>
        <w:t>（1）</w:t>
      </w:r>
      <w:r>
        <w:rPr>
          <w:rFonts w:ascii="仿宋" w:hAnsi="仿宋" w:eastAsia="仿宋"/>
          <w:bCs/>
        </w:rPr>
        <w:t>有证据表明涉嫌侵权人有渠道或者机会获取商业秘密，且其使用的信息与该商业秘密实质上相同；</w:t>
      </w:r>
    </w:p>
    <w:p>
      <w:pPr>
        <w:tabs>
          <w:tab w:val="left" w:pos="709"/>
          <w:tab w:val="left" w:pos="851"/>
          <w:tab w:val="left" w:pos="1134"/>
        </w:tabs>
        <w:spacing w:line="312" w:lineRule="auto"/>
        <w:ind w:left="-2" w:firstLine="500"/>
        <w:rPr>
          <w:rFonts w:ascii="仿宋" w:hAnsi="仿宋" w:eastAsia="仿宋"/>
          <w:bCs/>
        </w:rPr>
      </w:pPr>
      <w:r>
        <w:rPr>
          <w:rFonts w:hint="eastAsia" w:ascii="仿宋" w:hAnsi="仿宋" w:eastAsia="仿宋"/>
          <w:bCs/>
        </w:rPr>
        <w:t>（2）</w:t>
      </w:r>
      <w:r>
        <w:rPr>
          <w:rFonts w:ascii="仿宋" w:hAnsi="仿宋" w:eastAsia="仿宋"/>
          <w:bCs/>
        </w:rPr>
        <w:t>有证据表明商业秘密已经被涉嫌侵权人披露、使用或者有被披露、使用的风险；</w:t>
      </w:r>
    </w:p>
    <w:p>
      <w:pPr>
        <w:tabs>
          <w:tab w:val="left" w:pos="709"/>
          <w:tab w:val="left" w:pos="851"/>
          <w:tab w:val="left" w:pos="1134"/>
        </w:tabs>
        <w:spacing w:line="312" w:lineRule="auto"/>
        <w:ind w:left="-2" w:firstLine="500"/>
        <w:rPr>
          <w:rFonts w:ascii="仿宋" w:hAnsi="仿宋" w:eastAsia="仿宋"/>
          <w:bCs/>
        </w:rPr>
      </w:pPr>
      <w:r>
        <w:rPr>
          <w:rFonts w:hint="eastAsia" w:ascii="仿宋" w:hAnsi="仿宋" w:eastAsia="仿宋"/>
          <w:bCs/>
        </w:rPr>
        <w:t>（3）</w:t>
      </w:r>
      <w:r>
        <w:rPr>
          <w:rFonts w:ascii="仿宋" w:hAnsi="仿宋" w:eastAsia="仿宋"/>
          <w:bCs/>
        </w:rPr>
        <w:t>有其他证据表明商业秘密被涉嫌侵权人侵犯。</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《反不正当竞争法》第三十二条第二款。</w:t>
      </w:r>
    </w:p>
    <w:p>
      <w:pPr>
        <w:pStyle w:val="3"/>
        <w:spacing w:after="0" w:line="312" w:lineRule="auto"/>
        <w:jc w:val="center"/>
        <w:rPr>
          <w:sz w:val="24"/>
          <w:szCs w:val="24"/>
        </w:rPr>
      </w:pPr>
      <w:bookmarkStart w:id="36" w:name="_Toc122294631"/>
      <w:r>
        <w:rPr>
          <w:rFonts w:hint="eastAsia"/>
          <w:sz w:val="24"/>
          <w:szCs w:val="24"/>
        </w:rPr>
        <w:t>第二节 庭前准备</w:t>
      </w:r>
      <w:bookmarkEnd w:id="36"/>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58</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管辖权异议</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58</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若律师代理被告，则当首先对受理的法院是否具有管辖权进行审查。如果发现管辖权有争议的，应当与当事人沟通是否提起管辖权异议申请。</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58</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部分案件中，法院可能会将被告的管辖权异议申请书送达给原告，由原告进行答辩。大部分案件的管辖权异议是由法院直接作出裁定。</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58</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管辖权异议会延长诉讼进程，但存在一定的法律风险，具体操作提示见本指引第三章第二节。</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59</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增加</w:t>
      </w:r>
      <w:r>
        <w:rPr>
          <w:rFonts w:ascii="仿宋" w:hAnsi="仿宋" w:eastAsia="仿宋"/>
          <w:b/>
          <w:bCs/>
        </w:rPr>
        <w:t>、变更诉讼请求、</w:t>
      </w:r>
      <w:r>
        <w:rPr>
          <w:rFonts w:hint="eastAsia" w:ascii="仿宋" w:hAnsi="仿宋" w:eastAsia="仿宋"/>
          <w:b/>
          <w:bCs/>
        </w:rPr>
        <w:t>另行诉讼</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59</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随着案件推进，原告如果有增加、变更诉讼请求的需要，律师应当及时向法庭提出。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59</w:t>
      </w:r>
      <w:r>
        <w:rPr>
          <w:rFonts w:hint="eastAsia" w:ascii="仿宋" w:hAnsi="仿宋" w:eastAsia="仿宋"/>
          <w:lang w:eastAsia="zh-Hans"/>
        </w:rPr>
        <w:t>.</w:t>
      </w:r>
      <w:r>
        <w:rPr>
          <w:rFonts w:ascii="仿宋" w:hAnsi="仿宋" w:eastAsia="仿宋"/>
          <w:lang w:eastAsia="zh-Hans"/>
        </w:rPr>
        <w:t>2</w:t>
      </w:r>
      <w:r>
        <w:rPr>
          <w:rFonts w:ascii="仿宋" w:hAnsi="仿宋" w:eastAsia="仿宋"/>
          <w:color w:val="C55A11" w:themeColor="accent2" w:themeShade="BF"/>
        </w:rPr>
        <w:t xml:space="preserve"> </w:t>
      </w:r>
      <w:r>
        <w:rPr>
          <w:rFonts w:hint="eastAsia" w:ascii="仿宋" w:hAnsi="仿宋" w:eastAsia="仿宋"/>
        </w:rPr>
        <w:t>技术秘密案件可能会涉及到专利权权属等纠纷。原告律师发现该事实，是否就专利权权属纠纷进行诉讼，应与当事人沟通是否另行主张专利权权属。</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60</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追加被告或第三人</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60</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随着案件推进，如果有追加被告或者第三人的需要，律师应当及时向法庭提出。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60</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作为被告代理人，如发现案件与第三人有关或者需要第三人加入诉讼才能查清事实，则可以考虑向法庭申请追加被告或者第三人。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60</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原告若申请追加被告，需要对追加的被告提出诉讼请求，并提交证明被告有侵权行为的证据。</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61</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延期举证</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61</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立案材料提交之后至庭审之前，律师仍应当积极指导客户继续挖掘证据，及时向法庭提交，帮助法庭查清案件事实。</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61</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未能在法庭规定的举证期限内提交证据的，应当在期限届满前提交延期举证申请，向法庭说明理由，</w:t>
      </w:r>
      <w:r>
        <w:rPr>
          <w:rFonts w:hint="eastAsia" w:ascii="仿宋" w:hAnsi="仿宋" w:eastAsia="仿宋"/>
          <w:color w:val="000000" w:themeColor="text1"/>
          <w14:textFill>
            <w14:solidFill>
              <w14:schemeClr w14:val="tx1"/>
            </w14:solidFill>
          </w14:textFill>
        </w:rPr>
        <w:t>以</w:t>
      </w:r>
      <w:r>
        <w:rPr>
          <w:rFonts w:hint="eastAsia" w:ascii="仿宋" w:hAnsi="仿宋" w:eastAsia="仿宋"/>
        </w:rPr>
        <w:t>得到主审法官的同意。</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62</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核查委托代理手续</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62</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律师在出庭前应当核查授权委托手续是否已经完整提交法院。</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62</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临时更换出庭律师时，应当重新办理授权委托手续，撤回对先前律师的委托，并提前将授权委托手续邮寄至法院或者当庭提交。</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63</w:t>
      </w:r>
      <w:r>
        <w:rPr>
          <w:rFonts w:hint="eastAsia" w:ascii="仿宋" w:hAnsi="仿宋" w:eastAsia="仿宋"/>
          <w:b/>
          <w:bCs/>
        </w:rPr>
        <w:t>条</w:t>
      </w:r>
      <w:r>
        <w:rPr>
          <w:rFonts w:ascii="仿宋" w:hAnsi="仿宋" w:eastAsia="仿宋"/>
          <w:b/>
          <w:bCs/>
        </w:rPr>
        <w:t xml:space="preserve"> 【不公开审理申请】</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63</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为了防止庭审二次泄密，商业秘密案件应当向法庭申请不公开审理。</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63</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开庭之前，律师要和当事人以及法官确认，本案是否要申请法院不公开审理。若要申请不公开审理，应该提前提交不公开审理申请书，由法院批准。</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63</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不公开审理的案件，非案件诉讼代理人或者专家辅助人等，均不能参加庭审。若案件是公开审理，则不限制旁听人员。律师需要提醒当事人的旁听人员，带上身份证件原件，以核实身份。</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64</w:t>
      </w:r>
      <w:r>
        <w:rPr>
          <w:rFonts w:hint="eastAsia" w:ascii="仿宋" w:hAnsi="仿宋" w:eastAsia="仿宋"/>
          <w:b/>
          <w:bCs/>
        </w:rPr>
        <w:t>条</w:t>
      </w:r>
      <w:r>
        <w:rPr>
          <w:rFonts w:ascii="仿宋" w:hAnsi="仿宋" w:eastAsia="仿宋"/>
          <w:b/>
          <w:bCs/>
        </w:rPr>
        <w:t xml:space="preserve"> 【申请专家辅助人出庭】</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64</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对于技术秘密类、软件秘密类案件，如果涉及到复杂的技术内容，</w:t>
      </w:r>
      <w:r>
        <w:rPr>
          <w:rFonts w:ascii="仿宋" w:hAnsi="仿宋" w:eastAsia="仿宋"/>
        </w:rPr>
        <w:t>当事人可以申请一至两名具有专门知识的人员出庭就案件的专门性问题进行说明。</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64</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申请专家辅助人出庭，应当遵守法律规定，在规定期限内提出申请，切记不要当庭提交专家辅助人申请。</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64</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若律师和当事人确认，拟申请专家辅助人出庭，则应当拟定书面的专家辅助人出庭申请书及相关资料，在开庭之前提交法院。</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64</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律师应当提醒当事人，准备专家辅助人出庭资料，包括身份证件、工作证件、简要介绍、及在其技术领域的荣誉或业绩。</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64</w:t>
      </w:r>
      <w:r>
        <w:rPr>
          <w:rFonts w:hint="eastAsia" w:ascii="仿宋" w:hAnsi="仿宋" w:eastAsia="仿宋"/>
          <w:lang w:eastAsia="zh-Hans"/>
        </w:rPr>
        <w:t>.</w:t>
      </w:r>
      <w:r>
        <w:rPr>
          <w:rFonts w:ascii="仿宋" w:hAnsi="仿宋" w:eastAsia="仿宋"/>
          <w:lang w:eastAsia="zh-Hans"/>
        </w:rPr>
        <w:t xml:space="preserve">5 </w:t>
      </w:r>
      <w:r>
        <w:rPr>
          <w:rFonts w:hint="eastAsia" w:ascii="仿宋" w:hAnsi="仿宋" w:eastAsia="仿宋"/>
        </w:rPr>
        <w:t>专家辅助人出庭之前，律师应当与专家辅助人就案件涉及的技术问题进行充分沟通。</w:t>
      </w:r>
    </w:p>
    <w:p>
      <w:pPr>
        <w:tabs>
          <w:tab w:val="left" w:pos="709"/>
          <w:tab w:val="left" w:pos="851"/>
          <w:tab w:val="left" w:pos="1134"/>
        </w:tabs>
        <w:spacing w:line="312" w:lineRule="auto"/>
        <w:ind w:left="-2" w:firstLine="500"/>
        <w:rPr>
          <w:rFonts w:ascii="仿宋" w:hAnsi="仿宋" w:eastAsia="仿宋"/>
          <w:u w:val="single"/>
        </w:rPr>
      </w:pPr>
      <w:r>
        <w:rPr>
          <w:rFonts w:ascii="仿宋" w:hAnsi="仿宋" w:eastAsia="仿宋"/>
          <w:b/>
          <w:bCs/>
        </w:rPr>
        <w:t>【法律规定】</w:t>
      </w:r>
      <w:r>
        <w:rPr>
          <w:rFonts w:ascii="仿宋" w:hAnsi="仿宋" w:eastAsia="仿宋"/>
        </w:rPr>
        <w:t>《民事诉讼法》第八十二条</w:t>
      </w:r>
      <w:r>
        <w:rPr>
          <w:rFonts w:ascii="Calibri" w:hAnsi="Calibri" w:eastAsia="仿宋" w:cs="Calibri"/>
        </w:rPr>
        <w:t> </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65</w:t>
      </w:r>
      <w:r>
        <w:rPr>
          <w:rFonts w:hint="eastAsia" w:ascii="仿宋" w:hAnsi="仿宋" w:eastAsia="仿宋"/>
          <w:b/>
          <w:bCs/>
        </w:rPr>
        <w:t>条</w:t>
      </w:r>
      <w:r>
        <w:rPr>
          <w:rFonts w:ascii="仿宋" w:hAnsi="仿宋" w:eastAsia="仿宋"/>
          <w:b/>
          <w:bCs/>
        </w:rPr>
        <w:t xml:space="preserve"> 【准备证据原件】</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65</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证据原件应当坚持客户保管的原则，立案时向法院提交复印件证据。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65</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在开庭之前，与当事人沟通，要求当事人按照提交法院的证据内容，分门别类准备证据原件。证据原件不宜由律师代为保管，防止因为原件丢失而引起的执业风险。</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65</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如果当事人派人参加庭审，则可以由当事人携带证据原件至法庭。若当事人不参加庭审，律师应当准备证据原件，并在庭后及时归还客户。证据原件的接收和归还，应当清点核对，并做好书面交接手续。</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65</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商业秘密案件的权属证据，因涉及到当事人的秘密，诉讼中仅提交一份给法院，不需要提供给对方当事人。权属证据，在司法鉴定中由鉴定机</w:t>
      </w:r>
      <w:r>
        <w:rPr>
          <w:rFonts w:hint="eastAsia" w:ascii="仿宋" w:hAnsi="仿宋" w:eastAsia="仿宋"/>
          <w:color w:val="000000" w:themeColor="text1"/>
          <w14:textFill>
            <w14:solidFill>
              <w14:schemeClr w14:val="tx1"/>
            </w14:solidFill>
          </w14:textFill>
        </w:rPr>
        <w:t>构打开</w:t>
      </w:r>
      <w:r>
        <w:rPr>
          <w:rFonts w:hint="eastAsia" w:ascii="仿宋" w:hAnsi="仿宋" w:eastAsia="仿宋"/>
        </w:rPr>
        <w:t>；在法院主持的技术比对中，由法院</w:t>
      </w:r>
      <w:r>
        <w:rPr>
          <w:rFonts w:hint="eastAsia" w:ascii="仿宋" w:hAnsi="仿宋" w:eastAsia="仿宋"/>
          <w:color w:val="000000" w:themeColor="text1"/>
          <w14:textFill>
            <w14:solidFill>
              <w14:schemeClr w14:val="tx1"/>
            </w14:solidFill>
          </w14:textFill>
        </w:rPr>
        <w:t>打开</w:t>
      </w:r>
      <w:r>
        <w:rPr>
          <w:rFonts w:hint="eastAsia" w:ascii="仿宋" w:hAnsi="仿宋" w:eastAsia="仿宋"/>
        </w:rPr>
        <w:t>比对。</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66</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准备庭审提纲</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66</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在开庭之前拟定庭审提纲，可以帮助律师在庭审时逻辑清晰、条理清楚，缓解心理压力，做到胸有成竹，面对突发情况能够冷静应对。</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66</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对于当事人在场或者公开直播的庭审（商业秘密案件公开直播属于例外），律师应当拟定庭审提纲。</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66</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庭审提纲应当主要包括：诉讼请求、诉状内容陈述、举证意见要点、质证意见要点、设问清单、辩论观点及反驳观点，尤其对于设问问题要进行斟酌设计。</w:t>
      </w:r>
    </w:p>
    <w:p>
      <w:pPr>
        <w:pStyle w:val="3"/>
        <w:spacing w:after="0" w:line="312" w:lineRule="auto"/>
        <w:jc w:val="center"/>
        <w:rPr>
          <w:sz w:val="24"/>
          <w:szCs w:val="24"/>
        </w:rPr>
      </w:pPr>
      <w:bookmarkStart w:id="37" w:name="_Toc122294632"/>
      <w:r>
        <w:rPr>
          <w:rFonts w:hint="eastAsia"/>
          <w:sz w:val="24"/>
          <w:szCs w:val="24"/>
        </w:rPr>
        <w:t xml:space="preserve">第三节 听 </w:t>
      </w:r>
      <w:r>
        <w:rPr>
          <w:sz w:val="24"/>
          <w:szCs w:val="24"/>
        </w:rPr>
        <w:t xml:space="preserve"> </w:t>
      </w:r>
      <w:r>
        <w:rPr>
          <w:rFonts w:hint="eastAsia"/>
          <w:sz w:val="24"/>
          <w:szCs w:val="24"/>
        </w:rPr>
        <w:t>证</w:t>
      </w:r>
      <w:bookmarkEnd w:id="37"/>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第67条 【申请鉴定】</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67</w:t>
      </w:r>
      <w:r>
        <w:rPr>
          <w:rFonts w:hint="eastAsia" w:ascii="仿宋" w:hAnsi="仿宋" w:eastAsia="仿宋"/>
          <w:lang w:eastAsia="zh-Hans"/>
        </w:rPr>
        <w:t xml:space="preserve">.1 </w:t>
      </w:r>
      <w:r>
        <w:rPr>
          <w:rFonts w:hint="eastAsia" w:ascii="仿宋" w:hAnsi="仿宋" w:eastAsia="仿宋"/>
        </w:rPr>
        <w:t>商业秘密案件，尤其是技术秘密案件，</w:t>
      </w:r>
      <w:r>
        <w:rPr>
          <w:rFonts w:hint="eastAsia" w:ascii="仿宋" w:hAnsi="仿宋" w:eastAsia="仿宋"/>
          <w:color w:val="000000" w:themeColor="text1"/>
          <w14:textFill>
            <w14:solidFill>
              <w14:schemeClr w14:val="tx1"/>
            </w14:solidFill>
          </w14:textFill>
        </w:rPr>
        <w:t>会</w:t>
      </w:r>
      <w:r>
        <w:rPr>
          <w:rFonts w:hint="eastAsia" w:ascii="仿宋" w:hAnsi="仿宋" w:eastAsia="仿宋"/>
        </w:rPr>
        <w:t>涉及到技术比对或者技术鉴定。在法官主持下，组织双方围绕商业秘密的秘密点，固定权利依据和侵权证据，是否申请司法鉴定，如何选择鉴定机构等事项进行记录。</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67</w:t>
      </w:r>
      <w:r>
        <w:rPr>
          <w:rFonts w:hint="eastAsia" w:ascii="仿宋" w:hAnsi="仿宋" w:eastAsia="仿宋"/>
          <w:lang w:eastAsia="zh-Hans"/>
        </w:rPr>
        <w:t xml:space="preserve">.2 </w:t>
      </w:r>
      <w:r>
        <w:rPr>
          <w:rFonts w:hint="eastAsia" w:ascii="仿宋" w:hAnsi="仿宋" w:eastAsia="仿宋"/>
        </w:rPr>
        <w:t>若商业秘密案件进入鉴定程序，则</w:t>
      </w:r>
      <w:r>
        <w:rPr>
          <w:rFonts w:hint="eastAsia" w:ascii="仿宋" w:hAnsi="仿宋" w:eastAsia="仿宋"/>
          <w:color w:val="000000" w:themeColor="text1"/>
          <w14:textFill>
            <w14:solidFill>
              <w14:schemeClr w14:val="tx1"/>
            </w14:solidFill>
          </w14:textFill>
        </w:rPr>
        <w:t>可以由当事人协商选择鉴定机构或由法院指定鉴定机构进行鉴定。实践中，当事人就鉴定机构选择很难达成</w:t>
      </w:r>
      <w:r>
        <w:rPr>
          <w:rFonts w:hint="eastAsia" w:ascii="仿宋" w:hAnsi="仿宋" w:eastAsia="仿宋"/>
        </w:rPr>
        <w:t>一致意见，而交给法院决定。司法鉴定处理，每个法院的处理机构不一致。有的法院是交由专门的鉴定部门处理，有的法院是由主审法官处理鉴定事宜。（具体鉴定程序在本操作指引的第六章论述）</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第68条 【技术比对】</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68</w:t>
      </w:r>
      <w:r>
        <w:rPr>
          <w:rFonts w:hint="eastAsia" w:ascii="仿宋" w:hAnsi="仿宋" w:eastAsia="仿宋"/>
          <w:lang w:eastAsia="zh-Hans"/>
        </w:rPr>
        <w:t xml:space="preserve">.1 </w:t>
      </w:r>
      <w:r>
        <w:rPr>
          <w:rFonts w:hint="eastAsia" w:ascii="仿宋" w:hAnsi="仿宋" w:eastAsia="仿宋"/>
        </w:rPr>
        <w:t>若商业秘密不进入鉴定程序，而是由法院的技术调查官主持技术比对，则听证程序基本上就是技术比对的过程。</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68</w:t>
      </w:r>
      <w:r>
        <w:rPr>
          <w:rFonts w:hint="eastAsia" w:ascii="仿宋" w:hAnsi="仿宋" w:eastAsia="仿宋"/>
          <w:lang w:eastAsia="zh-Hans"/>
        </w:rPr>
        <w:t xml:space="preserve">.2 </w:t>
      </w:r>
      <w:r>
        <w:rPr>
          <w:rFonts w:hint="eastAsia" w:ascii="仿宋" w:hAnsi="仿宋" w:eastAsia="仿宋"/>
        </w:rPr>
        <w:t>技术比对的听证，需要各方的专家辅助人出庭，在法官和技术调查官的主持下，就技术秘密是否相同或实质性相似发表意见。</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68</w:t>
      </w:r>
      <w:r>
        <w:rPr>
          <w:rFonts w:hint="eastAsia" w:ascii="仿宋" w:hAnsi="仿宋" w:eastAsia="仿宋"/>
          <w:lang w:eastAsia="zh-Hans"/>
        </w:rPr>
        <w:t xml:space="preserve">.3 </w:t>
      </w:r>
      <w:r>
        <w:rPr>
          <w:rFonts w:hint="eastAsia" w:ascii="仿宋" w:hAnsi="仿宋" w:eastAsia="仿宋"/>
        </w:rPr>
        <w:t>商业秘密侵权判断的“实质性相似”规则。相同或实质性相似的判断，或通过鉴定机构解决，或通过法律技术比对解决。</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b/>
          <w:bCs/>
        </w:rPr>
        <w:t>【法律规定】</w:t>
      </w:r>
      <w:r>
        <w:rPr>
          <w:rFonts w:hint="eastAsia" w:ascii="仿宋" w:hAnsi="仿宋" w:eastAsia="仿宋"/>
        </w:rPr>
        <w:t>《最高人民法院关于审理侵犯商业秘密民事案件适用法律若干问题的规定》第十三条。</w:t>
      </w:r>
    </w:p>
    <w:p>
      <w:pPr>
        <w:pStyle w:val="3"/>
        <w:spacing w:after="0" w:line="312" w:lineRule="auto"/>
        <w:jc w:val="center"/>
        <w:rPr>
          <w:sz w:val="24"/>
          <w:szCs w:val="24"/>
        </w:rPr>
      </w:pPr>
      <w:bookmarkStart w:id="38" w:name="_Toc122294633"/>
      <w:bookmarkStart w:id="39" w:name="_Hlk98295930"/>
      <w:r>
        <w:rPr>
          <w:rFonts w:hint="eastAsia"/>
          <w:sz w:val="24"/>
          <w:szCs w:val="24"/>
        </w:rPr>
        <w:t>第四节</w:t>
      </w:r>
      <w:r>
        <w:rPr>
          <w:sz w:val="24"/>
          <w:szCs w:val="24"/>
        </w:rPr>
        <w:t xml:space="preserve"> </w:t>
      </w:r>
      <w:r>
        <w:rPr>
          <w:rFonts w:hint="eastAsia"/>
          <w:sz w:val="24"/>
          <w:szCs w:val="24"/>
        </w:rPr>
        <w:t xml:space="preserve">庭 </w:t>
      </w:r>
      <w:r>
        <w:rPr>
          <w:sz w:val="24"/>
          <w:szCs w:val="24"/>
        </w:rPr>
        <w:t xml:space="preserve"> </w:t>
      </w:r>
      <w:r>
        <w:rPr>
          <w:rFonts w:hint="eastAsia"/>
          <w:sz w:val="24"/>
          <w:szCs w:val="24"/>
        </w:rPr>
        <w:t>审</w:t>
      </w:r>
      <w:bookmarkEnd w:id="38"/>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69</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原告</w:t>
      </w:r>
      <w:r>
        <w:rPr>
          <w:rFonts w:ascii="仿宋" w:hAnsi="仿宋" w:eastAsia="仿宋"/>
          <w:b/>
          <w:bCs/>
        </w:rPr>
        <w:t>陈述诉讼请求及事实理由】</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69</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开庭陈述在于帮助法官短时间内掌握案情，为法庭调查和法庭辩论打下基础。</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69</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陈述诉讼请求及事实理由应当简明扼要，对起诉书中内容进行概括，择要点向法庭陈述。</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69</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明确商业秘密</w:t>
      </w:r>
      <w:r>
        <w:rPr>
          <w:rFonts w:hint="eastAsia" w:ascii="仿宋" w:hAnsi="仿宋" w:eastAsia="仿宋"/>
          <w:color w:val="000000" w:themeColor="text1"/>
          <w14:textFill>
            <w14:solidFill>
              <w14:schemeClr w14:val="tx1"/>
            </w14:solidFill>
          </w14:textFill>
        </w:rPr>
        <w:t>的</w:t>
      </w:r>
      <w:r>
        <w:rPr>
          <w:rFonts w:hint="eastAsia" w:ascii="仿宋" w:hAnsi="仿宋" w:eastAsia="仿宋"/>
        </w:rPr>
        <w:t>具体内容即秘密点。实践中出现过因原告无法明确商业秘密的秘密点，而被法院驳回起诉的情形。</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《最高人民法院关于审理侵犯商业秘密民事案件适用法律若干问题的规定》第一条</w:t>
      </w:r>
      <w:r>
        <w:rPr>
          <w:rFonts w:hint="eastAsia" w:ascii="仿宋" w:hAnsi="仿宋" w:eastAsia="仿宋"/>
        </w:rPr>
        <w:t>、</w:t>
      </w:r>
      <w:r>
        <w:rPr>
          <w:rFonts w:ascii="仿宋" w:hAnsi="仿宋" w:eastAsia="仿宋"/>
        </w:rPr>
        <w:t>第二十七条。</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70</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被告</w:t>
      </w:r>
      <w:r>
        <w:rPr>
          <w:rFonts w:ascii="仿宋" w:hAnsi="仿宋" w:eastAsia="仿宋"/>
          <w:b/>
          <w:bCs/>
        </w:rPr>
        <w:t>陈述答辩意见】</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70</w:t>
      </w:r>
      <w:r>
        <w:rPr>
          <w:rFonts w:hint="eastAsia" w:ascii="仿宋" w:hAnsi="仿宋" w:eastAsia="仿宋"/>
        </w:rPr>
        <w:t>.</w:t>
      </w:r>
      <w:r>
        <w:rPr>
          <w:rFonts w:ascii="仿宋" w:hAnsi="仿宋" w:eastAsia="仿宋"/>
        </w:rPr>
        <w:t xml:space="preserve">1 </w:t>
      </w:r>
      <w:r>
        <w:rPr>
          <w:rFonts w:hint="eastAsia" w:ascii="仿宋" w:hAnsi="仿宋" w:eastAsia="仿宋"/>
        </w:rPr>
        <w:t>原则上被告应在答辩期内提交书面答辩状，但也可口头答辩。</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70</w:t>
      </w:r>
      <w:r>
        <w:rPr>
          <w:rFonts w:hint="eastAsia" w:ascii="仿宋" w:hAnsi="仿宋" w:eastAsia="仿宋"/>
        </w:rPr>
        <w:t>.</w:t>
      </w:r>
      <w:r>
        <w:rPr>
          <w:rFonts w:ascii="仿宋" w:hAnsi="仿宋" w:eastAsia="仿宋"/>
        </w:rPr>
        <w:t xml:space="preserve">2 </w:t>
      </w:r>
      <w:r>
        <w:rPr>
          <w:rFonts w:hint="eastAsia" w:ascii="仿宋" w:hAnsi="仿宋" w:eastAsia="仿宋"/>
        </w:rPr>
        <w:t>陈述答辩意见应当简明扼要，明确被告主要抗辩观点，便于法庭概括争议焦点。</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71</w:t>
      </w:r>
      <w:r>
        <w:rPr>
          <w:rFonts w:hint="eastAsia" w:ascii="仿宋" w:hAnsi="仿宋" w:eastAsia="仿宋"/>
          <w:b/>
          <w:bCs/>
        </w:rPr>
        <w:t>条</w:t>
      </w:r>
      <w:r>
        <w:rPr>
          <w:rFonts w:ascii="仿宋" w:hAnsi="仿宋" w:eastAsia="仿宋"/>
          <w:b/>
          <w:bCs/>
        </w:rPr>
        <w:t xml:space="preserve"> 【证据交换】</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71</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当事人对提出的诉讼请求有提出证据证明的义务，当事人举证时应当主动向法官说明证据在证据材料中的确切位置，便于法官核查证据，了解案情。</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71</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对案件影响重大的证据，应当提示法官，尤其是对证据所体现的内容进行详细陈述，</w:t>
      </w:r>
      <w:r>
        <w:rPr>
          <w:rFonts w:hint="eastAsia" w:ascii="仿宋" w:hAnsi="仿宋" w:eastAsia="仿宋"/>
          <w:color w:val="000000" w:themeColor="text1"/>
          <w14:textFill>
            <w14:solidFill>
              <w14:schemeClr w14:val="tx1"/>
            </w14:solidFill>
          </w14:textFill>
        </w:rPr>
        <w:t>以</w:t>
      </w:r>
      <w:r>
        <w:rPr>
          <w:rFonts w:hint="eastAsia" w:ascii="仿宋" w:hAnsi="仿宋" w:eastAsia="仿宋"/>
        </w:rPr>
        <w:t>引起法官重视。</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71</w:t>
      </w:r>
      <w:r>
        <w:rPr>
          <w:rFonts w:hint="eastAsia" w:ascii="仿宋" w:hAnsi="仿宋" w:eastAsia="仿宋"/>
          <w:lang w:eastAsia="zh-Hans"/>
        </w:rPr>
        <w:t>.</w:t>
      </w:r>
      <w:r>
        <w:rPr>
          <w:rFonts w:ascii="仿宋" w:hAnsi="仿宋" w:eastAsia="仿宋"/>
          <w:lang w:eastAsia="zh-Hans"/>
        </w:rPr>
        <w:t xml:space="preserve">3 </w:t>
      </w:r>
      <w:r>
        <w:rPr>
          <w:rFonts w:ascii="仿宋" w:hAnsi="仿宋" w:eastAsia="仿宋"/>
        </w:rPr>
        <w:t>质证</w:t>
      </w:r>
      <w:r>
        <w:rPr>
          <w:rFonts w:hint="eastAsia" w:ascii="仿宋" w:hAnsi="仿宋" w:eastAsia="仿宋"/>
        </w:rPr>
        <w:t>应当围绕</w:t>
      </w:r>
      <w:r>
        <w:rPr>
          <w:rFonts w:ascii="仿宋" w:hAnsi="仿宋" w:eastAsia="仿宋"/>
        </w:rPr>
        <w:t>证据的真实性、关联性、合法性</w:t>
      </w:r>
      <w:r>
        <w:rPr>
          <w:rFonts w:hint="eastAsia" w:ascii="仿宋" w:hAnsi="仿宋" w:eastAsia="仿宋"/>
        </w:rPr>
        <w:t>以及证明目的展开，在此基础上，针对对方的证据进行阐述，尤其是涉及到复杂案件，法官愿意听律师详细论述证据。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71</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证据交换程序，每个法院处理程序不一样。有的法院是将证据交换和庭审合并处理，有的法院是证据交换程序和庭审程序单独进行。</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72</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法庭询问</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72</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举证质证程序结束后，法庭会就关注的事实和法律问题，向各方当事人发问。法庭也会询问各方当事人，是否有问题向对方发问。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72</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律师向对方发问，主要围绕事实问题展开。律师发问内容应当围绕法庭归纳的争议焦点和调查事</w:t>
      </w:r>
      <w:r>
        <w:rPr>
          <w:rFonts w:hint="eastAsia" w:ascii="仿宋" w:hAnsi="仿宋" w:eastAsia="仿宋"/>
          <w:color w:val="000000" w:themeColor="text1"/>
          <w14:textFill>
            <w14:solidFill>
              <w14:schemeClr w14:val="tx1"/>
            </w14:solidFill>
          </w14:textFill>
        </w:rPr>
        <w:t>实，对重点问题进行发问，对于己方关注的事实或试图引出对方回答的事实问题，要事先准备妥当，便于庭审提问</w:t>
      </w:r>
      <w:r>
        <w:rPr>
          <w:rFonts w:hint="eastAsia" w:ascii="仿宋" w:hAnsi="仿宋" w:eastAsia="仿宋"/>
        </w:rPr>
        <w:t>，但对于案件无关的内容不宜发问。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72</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律师发问方式应当避免使用质疑、反问式的发问，发问过程不要带入情绪，避免双方矛盾升级，影响法庭审理。</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72</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律师回答法官的提问，或者回答对方的问题，应当简明扼要回复。对于律师自己不清楚或没有向当事人核实的问题，可以回复在庭审之后核实并答复。</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73</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法庭</w:t>
      </w:r>
      <w:r>
        <w:rPr>
          <w:rFonts w:ascii="仿宋" w:hAnsi="仿宋" w:eastAsia="仿宋"/>
          <w:b/>
          <w:bCs/>
        </w:rPr>
        <w:t>辩论】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73</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法庭辩论应当围绕法庭的争议焦点进行。有的法官会总结争议焦点，而有的法官不主动总结争议焦点，律师要根据之前的庭审情况自行总结争议焦点，并围绕焦点展开辩论。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73</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对于法庭总结的争议焦点，律师若</w:t>
      </w:r>
      <w:r>
        <w:rPr>
          <w:rFonts w:ascii="仿宋" w:hAnsi="仿宋" w:eastAsia="仿宋"/>
        </w:rPr>
        <w:t>认为有偏差或者遗漏的</w:t>
      </w:r>
      <w:r>
        <w:rPr>
          <w:rFonts w:hint="eastAsia" w:ascii="仿宋" w:hAnsi="仿宋" w:eastAsia="仿宋"/>
        </w:rPr>
        <w:t>，应当及时提出。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73</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律师应当在辩论过程中简明扼要，重点突出并充分的发表意见。法庭辩论的最终目的是向法官传达己方的观点，而不是说服或者驳倒对方。</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73</w:t>
      </w:r>
      <w:r>
        <w:rPr>
          <w:rFonts w:hint="eastAsia" w:ascii="仿宋" w:hAnsi="仿宋" w:eastAsia="仿宋"/>
          <w:lang w:eastAsia="zh-Hans"/>
        </w:rPr>
        <w:t>.</w:t>
      </w:r>
      <w:r>
        <w:rPr>
          <w:rFonts w:ascii="仿宋" w:hAnsi="仿宋" w:eastAsia="仿宋"/>
          <w:lang w:eastAsia="zh-Hans"/>
        </w:rPr>
        <w:t xml:space="preserve">4 </w:t>
      </w:r>
      <w:r>
        <w:rPr>
          <w:rFonts w:hint="eastAsia" w:ascii="仿宋" w:hAnsi="仿宋" w:eastAsia="仿宋"/>
        </w:rPr>
        <w:t>律师在法庭辩论过程中应当注意语速，便于书记员记录。</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73</w:t>
      </w:r>
      <w:r>
        <w:rPr>
          <w:rFonts w:hint="eastAsia" w:ascii="仿宋" w:hAnsi="仿宋" w:eastAsia="仿宋"/>
          <w:lang w:eastAsia="zh-Hans"/>
        </w:rPr>
        <w:t>.</w:t>
      </w:r>
      <w:r>
        <w:rPr>
          <w:rFonts w:ascii="仿宋" w:hAnsi="仿宋" w:eastAsia="仿宋"/>
          <w:lang w:eastAsia="zh-Hans"/>
        </w:rPr>
        <w:t xml:space="preserve">5 </w:t>
      </w:r>
      <w:r>
        <w:rPr>
          <w:rFonts w:hint="eastAsia" w:ascii="仿宋" w:hAnsi="仿宋" w:eastAsia="仿宋"/>
        </w:rPr>
        <w:t>律师对于己方的辩论意见，可以在庭审之后组织成代理词，提交给法院。尤其在复杂的案件中，律师提交书面代理词有利于法官处理案件。</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74</w:t>
      </w:r>
      <w:r>
        <w:rPr>
          <w:rFonts w:hint="eastAsia" w:ascii="仿宋" w:hAnsi="仿宋" w:eastAsia="仿宋"/>
          <w:b/>
          <w:bCs/>
        </w:rPr>
        <w:t>条</w:t>
      </w:r>
      <w:r>
        <w:rPr>
          <w:rFonts w:ascii="仿宋" w:hAnsi="仿宋" w:eastAsia="仿宋"/>
          <w:b/>
          <w:bCs/>
        </w:rPr>
        <w:t xml:space="preserve"> 【最后陈述】</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74</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最后陈述应当简洁有力，对核心观点进行再次陈述，并再次陈述要求支持诉讼请求。</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74</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律师可视情况在最后陈述时，适当对本案的意义和影响进行陈述，达到升华主题的作用。</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75</w:t>
      </w:r>
      <w:r>
        <w:rPr>
          <w:rFonts w:hint="eastAsia" w:ascii="仿宋" w:hAnsi="仿宋" w:eastAsia="仿宋"/>
          <w:b/>
          <w:bCs/>
        </w:rPr>
        <w:t>条</w:t>
      </w:r>
      <w:r>
        <w:rPr>
          <w:rFonts w:ascii="仿宋" w:hAnsi="仿宋" w:eastAsia="仿宋"/>
          <w:b/>
          <w:bCs/>
        </w:rPr>
        <w:t xml:space="preserve"> 【表达是否愿意调解】</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75</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律师应当提前询问客户是否愿意调解，并在庭审结束时将意愿传递给法庭及对方当事人。</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75</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对于律师不便于当庭表述是否愿意调解，或者事先未能得到当事人关于调解的许可，可以向法庭陈述，庭审后再和当事人沟通调解问题。</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76</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责令提交证据</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原告在主张损害赔偿时，原告在提供被告获利初步证据的基础上，可以申请法院责令</w:t>
      </w:r>
      <w:r>
        <w:rPr>
          <w:rFonts w:ascii="仿宋" w:hAnsi="仿宋" w:eastAsia="仿宋"/>
        </w:rPr>
        <w:t>被告</w:t>
      </w:r>
      <w:r>
        <w:rPr>
          <w:rFonts w:hint="eastAsia" w:ascii="仿宋" w:hAnsi="仿宋" w:eastAsia="仿宋"/>
        </w:rPr>
        <w:t>提交账簿等财务资料。</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《最高人民法院关于审理侵犯商业秘密民事案件适用法律若干问题的规定》第二十四条。</w:t>
      </w:r>
    </w:p>
    <w:p>
      <w:pPr>
        <w:pStyle w:val="3"/>
        <w:spacing w:after="0" w:line="312" w:lineRule="auto"/>
        <w:jc w:val="center"/>
        <w:rPr>
          <w:sz w:val="24"/>
          <w:szCs w:val="24"/>
        </w:rPr>
      </w:pPr>
      <w:bookmarkStart w:id="40" w:name="_Toc122294634"/>
      <w:r>
        <w:rPr>
          <w:rFonts w:hint="eastAsia"/>
          <w:sz w:val="24"/>
          <w:szCs w:val="24"/>
        </w:rPr>
        <w:t>第五节</w:t>
      </w:r>
      <w:r>
        <w:rPr>
          <w:sz w:val="24"/>
          <w:szCs w:val="24"/>
        </w:rPr>
        <w:t xml:space="preserve"> </w:t>
      </w:r>
      <w:r>
        <w:rPr>
          <w:rFonts w:hint="eastAsia"/>
          <w:sz w:val="24"/>
          <w:szCs w:val="24"/>
        </w:rPr>
        <w:t>庭审过程二次泄密的防范措施</w:t>
      </w:r>
      <w:bookmarkEnd w:id="40"/>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77</w:t>
      </w:r>
      <w:r>
        <w:rPr>
          <w:rFonts w:hint="eastAsia" w:ascii="仿宋" w:hAnsi="仿宋" w:eastAsia="仿宋"/>
          <w:b/>
          <w:bCs/>
        </w:rPr>
        <w:t>条</w:t>
      </w:r>
      <w:r>
        <w:rPr>
          <w:rFonts w:ascii="仿宋" w:hAnsi="仿宋" w:eastAsia="仿宋"/>
          <w:b/>
          <w:bCs/>
        </w:rPr>
        <w:t xml:space="preserve"> 【签署保密协议</w:t>
      </w:r>
      <w:r>
        <w:rPr>
          <w:rFonts w:hint="eastAsia" w:ascii="仿宋" w:hAnsi="仿宋" w:eastAsia="仿宋"/>
          <w:b/>
          <w:bCs/>
        </w:rPr>
        <w:t>或保密承诺</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77</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为防止诉讼过程中的再次泄密，当事人或者法院都会提出要求诉讼参加人负有保密义务，保密的形式包括签署保密协议明确双方保密义务，或签署保密承诺由法庭记入笔录、具体形式由法庭决定。</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77</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律师还应注意提醒参与旁听的客户及相关人员，保守秘密，防止泄密。</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78</w:t>
      </w:r>
      <w:r>
        <w:rPr>
          <w:rFonts w:hint="eastAsia" w:ascii="仿宋" w:hAnsi="仿宋" w:eastAsia="仿宋"/>
          <w:b/>
          <w:bCs/>
        </w:rPr>
        <w:t>条</w:t>
      </w:r>
      <w:r>
        <w:rPr>
          <w:rFonts w:ascii="仿宋" w:hAnsi="仿宋" w:eastAsia="仿宋"/>
          <w:b/>
          <w:bCs/>
        </w:rPr>
        <w:t xml:space="preserve"> 【申请不公开审理】</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商业秘密案件应当向法庭申请不公开审理，客户确需旁听庭审时，律师可向法庭申请若干旁听席位。旁听人员应当签署保密协议，严格保守秘密。</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79</w:t>
      </w:r>
      <w:r>
        <w:rPr>
          <w:rFonts w:hint="eastAsia" w:ascii="仿宋" w:hAnsi="仿宋" w:eastAsia="仿宋"/>
          <w:b/>
          <w:bCs/>
        </w:rPr>
        <w:t>条</w:t>
      </w:r>
      <w:r>
        <w:rPr>
          <w:rFonts w:ascii="仿宋" w:hAnsi="仿宋" w:eastAsia="仿宋"/>
          <w:b/>
          <w:bCs/>
        </w:rPr>
        <w:t xml:space="preserve"> 【严格筛选证据】</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79</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商业秘密侵权诉讼原被告双方为支持各自的诉讼主张，必定会准备大量的内部研</w:t>
      </w:r>
      <w:r>
        <w:rPr>
          <w:rFonts w:hint="eastAsia" w:ascii="仿宋" w:hAnsi="仿宋" w:eastAsia="仿宋"/>
          <w:color w:val="000000" w:themeColor="text1"/>
          <w14:textFill>
            <w14:solidFill>
              <w14:schemeClr w14:val="tx1"/>
            </w14:solidFill>
          </w14:textFill>
        </w:rPr>
        <w:t>发材料、往来邮</w:t>
      </w:r>
      <w:r>
        <w:rPr>
          <w:rFonts w:hint="eastAsia" w:ascii="仿宋" w:hAnsi="仿宋" w:eastAsia="仿宋"/>
        </w:rPr>
        <w:t>件等涉密证据。律师应与客户沟通，在庭审之前对证据进行筛选，并选择合适的证据提交方式。</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79</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证据筛选应当结合该证据的证明力和证明目的，以及泄密风险，权衡利弊决定是否提交法庭。</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79</w:t>
      </w:r>
      <w:r>
        <w:rPr>
          <w:rFonts w:hint="eastAsia" w:ascii="仿宋" w:hAnsi="仿宋" w:eastAsia="仿宋"/>
          <w:lang w:eastAsia="zh-Hans"/>
        </w:rPr>
        <w:t>.</w:t>
      </w:r>
      <w:r>
        <w:rPr>
          <w:rFonts w:ascii="仿宋" w:hAnsi="仿宋" w:eastAsia="仿宋"/>
          <w:lang w:eastAsia="zh-Hans"/>
        </w:rPr>
        <w:t xml:space="preserve">3 </w:t>
      </w:r>
      <w:r>
        <w:rPr>
          <w:rFonts w:hint="eastAsia" w:ascii="仿宋" w:hAnsi="仿宋" w:eastAsia="仿宋"/>
        </w:rPr>
        <w:t>对于需要提交法庭但同时又包含涉密信息的证据，律师应当提前对涉密信息做相应的遮盖等技术处理，或者选择当庭播放等呈现方式。</w:t>
      </w:r>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80</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裁判文书不上网</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hint="eastAsia" w:ascii="仿宋" w:hAnsi="仿宋" w:eastAsia="仿宋"/>
        </w:rPr>
        <w:t>对于某些判决书可能导致的商业秘密泄漏案件，当事人可以申请法院不公开裁判文书，但最终是否公开裁判文书，由法院决定。</w:t>
      </w:r>
    </w:p>
    <w:p>
      <w:pPr>
        <w:tabs>
          <w:tab w:val="left" w:pos="709"/>
          <w:tab w:val="left" w:pos="851"/>
          <w:tab w:val="left" w:pos="1134"/>
        </w:tabs>
        <w:spacing w:line="312" w:lineRule="auto"/>
        <w:ind w:left="-2" w:firstLine="500"/>
        <w:rPr>
          <w:rFonts w:ascii="仿宋" w:hAnsi="仿宋" w:eastAsia="仿宋"/>
        </w:rPr>
      </w:pPr>
      <w:r>
        <w:rPr>
          <w:rFonts w:ascii="仿宋" w:hAnsi="仿宋" w:eastAsia="仿宋"/>
          <w:b/>
          <w:bCs/>
        </w:rPr>
        <w:t>【法律规定】</w:t>
      </w:r>
      <w:r>
        <w:rPr>
          <w:rFonts w:ascii="仿宋" w:hAnsi="仿宋" w:eastAsia="仿宋"/>
        </w:rPr>
        <w:t>《最高人民法院关于审理侵犯商业秘密民事案件适用法律若干问题的规定》第二十一条</w:t>
      </w:r>
      <w:r>
        <w:rPr>
          <w:rFonts w:ascii="Calibri" w:hAnsi="Calibri" w:eastAsia="仿宋" w:cs="Calibri"/>
        </w:rPr>
        <w:t> </w:t>
      </w:r>
      <w:r>
        <w:rPr>
          <w:rFonts w:ascii="仿宋" w:hAnsi="仿宋" w:eastAsia="仿宋"/>
        </w:rPr>
        <w:t>。</w:t>
      </w:r>
    </w:p>
    <w:p>
      <w:pPr>
        <w:tabs>
          <w:tab w:val="left" w:pos="709"/>
          <w:tab w:val="left" w:pos="851"/>
          <w:tab w:val="left" w:pos="1134"/>
        </w:tabs>
        <w:spacing w:line="312" w:lineRule="auto"/>
        <w:ind w:left="-2" w:firstLine="500"/>
        <w:rPr>
          <w:rFonts w:ascii="仿宋" w:hAnsi="仿宋" w:eastAsia="仿宋"/>
        </w:rPr>
      </w:pPr>
    </w:p>
    <w:p>
      <w:pPr>
        <w:pStyle w:val="3"/>
        <w:spacing w:after="0" w:line="312" w:lineRule="auto"/>
        <w:jc w:val="center"/>
        <w:rPr>
          <w:sz w:val="24"/>
          <w:szCs w:val="24"/>
        </w:rPr>
      </w:pPr>
      <w:bookmarkStart w:id="41" w:name="_Toc122294635"/>
      <w:r>
        <w:rPr>
          <w:rFonts w:hint="eastAsia"/>
          <w:sz w:val="24"/>
          <w:szCs w:val="24"/>
        </w:rPr>
        <w:t>第六节</w:t>
      </w:r>
      <w:r>
        <w:rPr>
          <w:sz w:val="24"/>
          <w:szCs w:val="24"/>
        </w:rPr>
        <w:t xml:space="preserve"> </w:t>
      </w:r>
      <w:r>
        <w:rPr>
          <w:rFonts w:hint="eastAsia"/>
          <w:sz w:val="24"/>
          <w:szCs w:val="24"/>
        </w:rPr>
        <w:t>二审程序</w:t>
      </w:r>
      <w:bookmarkEnd w:id="41"/>
    </w:p>
    <w:p>
      <w:pPr>
        <w:tabs>
          <w:tab w:val="left" w:pos="709"/>
          <w:tab w:val="left" w:pos="851"/>
          <w:tab w:val="left" w:pos="1134"/>
        </w:tabs>
        <w:spacing w:line="312" w:lineRule="auto"/>
        <w:ind w:left="-2" w:firstLine="500"/>
        <w:rPr>
          <w:rFonts w:ascii="仿宋" w:hAnsi="仿宋" w:eastAsia="仿宋"/>
          <w:b/>
          <w:bCs/>
        </w:rPr>
      </w:pPr>
      <w:r>
        <w:rPr>
          <w:rFonts w:hint="eastAsia" w:ascii="仿宋" w:hAnsi="仿宋" w:eastAsia="仿宋"/>
          <w:b/>
          <w:bCs/>
        </w:rPr>
        <w:t>第</w:t>
      </w:r>
      <w:r>
        <w:rPr>
          <w:rFonts w:ascii="仿宋" w:hAnsi="仿宋" w:eastAsia="仿宋"/>
          <w:b/>
          <w:bCs/>
        </w:rPr>
        <w:t>81</w:t>
      </w:r>
      <w:r>
        <w:rPr>
          <w:rFonts w:hint="eastAsia" w:ascii="仿宋" w:hAnsi="仿宋" w:eastAsia="仿宋"/>
          <w:b/>
          <w:bCs/>
        </w:rPr>
        <w:t>条</w:t>
      </w:r>
      <w:r>
        <w:rPr>
          <w:rFonts w:ascii="仿宋" w:hAnsi="仿宋" w:eastAsia="仿宋"/>
          <w:b/>
          <w:bCs/>
        </w:rPr>
        <w:t xml:space="preserve"> 【</w:t>
      </w:r>
      <w:r>
        <w:rPr>
          <w:rFonts w:hint="eastAsia" w:ascii="仿宋" w:hAnsi="仿宋" w:eastAsia="仿宋"/>
          <w:b/>
          <w:bCs/>
        </w:rPr>
        <w:t>上诉状</w:t>
      </w:r>
      <w:r>
        <w:rPr>
          <w:rFonts w:ascii="仿宋" w:hAnsi="仿宋" w:eastAsia="仿宋"/>
          <w:b/>
          <w:bCs/>
        </w:rPr>
        <w:t>】</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81</w:t>
      </w:r>
      <w:r>
        <w:rPr>
          <w:rFonts w:hint="eastAsia" w:ascii="仿宋" w:hAnsi="仿宋" w:eastAsia="仿宋"/>
          <w:lang w:eastAsia="zh-Hans"/>
        </w:rPr>
        <w:t>.</w:t>
      </w:r>
      <w:r>
        <w:rPr>
          <w:rFonts w:ascii="仿宋" w:hAnsi="仿宋" w:eastAsia="仿宋"/>
          <w:lang w:eastAsia="zh-Hans"/>
        </w:rPr>
        <w:t xml:space="preserve">1 </w:t>
      </w:r>
      <w:r>
        <w:rPr>
          <w:rFonts w:hint="eastAsia" w:ascii="仿宋" w:hAnsi="仿宋" w:eastAsia="仿宋"/>
        </w:rPr>
        <w:t>上诉状的起草，需要找准案件上诉的要点</w:t>
      </w:r>
      <w:r>
        <w:rPr>
          <w:rFonts w:ascii="仿宋" w:hAnsi="仿宋" w:eastAsia="仿宋"/>
        </w:rPr>
        <w:t>，</w:t>
      </w:r>
      <w:r>
        <w:rPr>
          <w:rFonts w:hint="eastAsia" w:ascii="仿宋" w:hAnsi="仿宋" w:eastAsia="仿宋"/>
        </w:rPr>
        <w:t>即从原审判决或裁定的程序</w:t>
      </w:r>
      <w:r>
        <w:rPr>
          <w:rFonts w:ascii="仿宋" w:hAnsi="仿宋" w:eastAsia="仿宋"/>
        </w:rPr>
        <w:t>、</w:t>
      </w:r>
      <w:r>
        <w:rPr>
          <w:rFonts w:hint="eastAsia" w:ascii="仿宋" w:hAnsi="仿宋" w:eastAsia="仿宋"/>
        </w:rPr>
        <w:t>实体</w:t>
      </w:r>
      <w:r>
        <w:rPr>
          <w:rFonts w:ascii="仿宋" w:hAnsi="仿宋" w:eastAsia="仿宋"/>
        </w:rPr>
        <w:t>、</w:t>
      </w:r>
      <w:r>
        <w:rPr>
          <w:rFonts w:hint="eastAsia" w:ascii="仿宋" w:hAnsi="仿宋" w:eastAsia="仿宋"/>
        </w:rPr>
        <w:t>法律适用等三大方面找准上诉要点。</w:t>
      </w:r>
    </w:p>
    <w:p>
      <w:pPr>
        <w:tabs>
          <w:tab w:val="left" w:pos="709"/>
          <w:tab w:val="left" w:pos="851"/>
          <w:tab w:val="left" w:pos="1134"/>
        </w:tabs>
        <w:spacing w:line="312" w:lineRule="auto"/>
        <w:ind w:left="-2" w:firstLine="500"/>
        <w:rPr>
          <w:rFonts w:ascii="仿宋" w:hAnsi="仿宋" w:eastAsia="仿宋"/>
        </w:rPr>
      </w:pPr>
      <w:r>
        <w:rPr>
          <w:rFonts w:ascii="仿宋" w:hAnsi="仿宋" w:eastAsia="仿宋"/>
        </w:rPr>
        <w:t>81</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针对不同的情况，根据《民事诉讼法》第二百七十条规定，提出具体的上诉请求。</w:t>
      </w:r>
    </w:p>
    <w:p>
      <w:pPr>
        <w:numPr>
          <w:ilvl w:val="0"/>
          <w:numId w:val="3"/>
        </w:numPr>
        <w:tabs>
          <w:tab w:val="left" w:pos="709"/>
          <w:tab w:val="left" w:pos="851"/>
          <w:tab w:val="left" w:pos="1134"/>
        </w:tabs>
        <w:spacing w:line="312" w:lineRule="auto"/>
        <w:ind w:left="-2" w:firstLine="500"/>
        <w:rPr>
          <w:rFonts w:ascii="仿宋" w:hAnsi="仿宋" w:eastAsia="仿宋"/>
          <w:bCs/>
        </w:rPr>
      </w:pPr>
      <w:r>
        <w:rPr>
          <w:rFonts w:ascii="仿宋" w:hAnsi="仿宋" w:eastAsia="仿宋"/>
          <w:bCs/>
        </w:rPr>
        <w:t xml:space="preserve"> </w:t>
      </w:r>
      <w:r>
        <w:rPr>
          <w:rFonts w:hint="eastAsia" w:ascii="仿宋" w:hAnsi="仿宋" w:eastAsia="仿宋"/>
          <w:bCs/>
        </w:rPr>
        <w:t>二审诉讼的其他程序参照一审诉讼程序。</w:t>
      </w:r>
    </w:p>
    <w:p>
      <w:pPr>
        <w:tabs>
          <w:tab w:val="left" w:pos="709"/>
          <w:tab w:val="left" w:pos="851"/>
          <w:tab w:val="left" w:pos="1134"/>
        </w:tabs>
        <w:spacing w:line="312" w:lineRule="auto"/>
        <w:rPr>
          <w:rFonts w:ascii="仿宋" w:hAnsi="仿宋" w:eastAsia="仿宋"/>
          <w:bCs/>
        </w:rPr>
      </w:pPr>
    </w:p>
    <w:p>
      <w:pPr>
        <w:tabs>
          <w:tab w:val="left" w:pos="709"/>
          <w:tab w:val="left" w:pos="851"/>
          <w:tab w:val="left" w:pos="1134"/>
        </w:tabs>
        <w:spacing w:line="312" w:lineRule="auto"/>
        <w:rPr>
          <w:rFonts w:ascii="仿宋" w:hAnsi="仿宋" w:eastAsia="仿宋"/>
          <w:bCs/>
        </w:rPr>
      </w:pPr>
    </w:p>
    <w:p>
      <w:pPr>
        <w:tabs>
          <w:tab w:val="left" w:pos="709"/>
          <w:tab w:val="left" w:pos="851"/>
          <w:tab w:val="left" w:pos="1134"/>
        </w:tabs>
        <w:spacing w:line="312" w:lineRule="auto"/>
        <w:rPr>
          <w:rFonts w:ascii="仿宋" w:hAnsi="仿宋" w:eastAsia="仿宋"/>
          <w:bCs/>
        </w:rPr>
      </w:pPr>
    </w:p>
    <w:p>
      <w:pPr>
        <w:tabs>
          <w:tab w:val="left" w:pos="709"/>
          <w:tab w:val="left" w:pos="851"/>
          <w:tab w:val="left" w:pos="1134"/>
        </w:tabs>
        <w:spacing w:line="312" w:lineRule="auto"/>
        <w:rPr>
          <w:rFonts w:ascii="仿宋" w:hAnsi="仿宋" w:eastAsia="仿宋"/>
          <w:bCs/>
        </w:rPr>
      </w:pPr>
    </w:p>
    <w:p>
      <w:pPr>
        <w:rPr>
          <w:rFonts w:hint="eastAsia" w:ascii="黑体" w:hAnsi="黑体" w:eastAsia="黑体" w:cs="黑体"/>
          <w:sz w:val="28"/>
          <w:szCs w:val="28"/>
        </w:rPr>
      </w:pPr>
    </w:p>
    <w:p>
      <w:pPr>
        <w:rPr>
          <w:rFonts w:ascii="黑体" w:hAnsi="黑体" w:eastAsia="黑体" w:cs="黑体"/>
          <w:sz w:val="28"/>
          <w:szCs w:val="28"/>
        </w:rPr>
      </w:pPr>
    </w:p>
    <w:p>
      <w:pPr>
        <w:pStyle w:val="2"/>
        <w:spacing w:after="0" w:line="312" w:lineRule="auto"/>
        <w:rPr>
          <w:rFonts w:cs="黑体"/>
          <w:sz w:val="28"/>
          <w:szCs w:val="28"/>
        </w:rPr>
      </w:pPr>
      <w:bookmarkStart w:id="42" w:name="_Toc122294636"/>
      <w:r>
        <w:rPr>
          <w:rFonts w:hint="eastAsia" w:cs="黑体"/>
          <w:sz w:val="28"/>
          <w:szCs w:val="28"/>
        </w:rPr>
        <w:t xml:space="preserve">第五章 </w:t>
      </w:r>
      <w:r>
        <w:rPr>
          <w:rFonts w:hint="eastAsia" w:cs="黑体"/>
          <w:sz w:val="28"/>
          <w:szCs w:val="28"/>
          <w:lang w:eastAsia="zh-Hans"/>
        </w:rPr>
        <w:t>商业秘密</w:t>
      </w:r>
      <w:r>
        <w:rPr>
          <w:rFonts w:hint="eastAsia" w:cs="黑体"/>
          <w:sz w:val="28"/>
          <w:szCs w:val="28"/>
        </w:rPr>
        <w:t>侵权诉讼的</w:t>
      </w:r>
      <w:r>
        <w:rPr>
          <w:rFonts w:hint="eastAsia" w:cs="黑体"/>
          <w:sz w:val="28"/>
          <w:szCs w:val="28"/>
          <w:lang w:eastAsia="zh-Hans"/>
        </w:rPr>
        <w:t>其他</w:t>
      </w:r>
      <w:r>
        <w:rPr>
          <w:rFonts w:hint="eastAsia" w:cs="黑体"/>
          <w:sz w:val="28"/>
          <w:szCs w:val="28"/>
        </w:rPr>
        <w:t>程序</w:t>
      </w:r>
      <w:bookmarkEnd w:id="42"/>
    </w:p>
    <w:p>
      <w:pPr>
        <w:pStyle w:val="3"/>
        <w:spacing w:after="0" w:line="312" w:lineRule="auto"/>
        <w:jc w:val="center"/>
        <w:rPr>
          <w:sz w:val="24"/>
          <w:szCs w:val="24"/>
        </w:rPr>
      </w:pPr>
      <w:bookmarkStart w:id="43" w:name="_Toc122294637"/>
      <w:r>
        <w:rPr>
          <w:rFonts w:hint="eastAsia"/>
          <w:sz w:val="24"/>
          <w:szCs w:val="24"/>
        </w:rPr>
        <w:t>第一节 证据保全</w:t>
      </w:r>
      <w:bookmarkEnd w:id="43"/>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第83条 【证据保全的定义及分类】</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83</w:t>
      </w:r>
      <w:r>
        <w:rPr>
          <w:rFonts w:hint="eastAsia" w:ascii="仿宋" w:hAnsi="仿宋" w:eastAsia="仿宋"/>
          <w:lang w:eastAsia="zh-Hans"/>
        </w:rPr>
        <w:t xml:space="preserve">.1 </w:t>
      </w:r>
      <w:r>
        <w:rPr>
          <w:rFonts w:hint="eastAsia" w:ascii="仿宋" w:hAnsi="仿宋" w:eastAsia="仿宋"/>
        </w:rPr>
        <w:t>证据保全是商业秘密纠纷案件中原告获胜的重要保障，保全的证据内容主要包括固定</w:t>
      </w:r>
      <w:r>
        <w:rPr>
          <w:rFonts w:ascii="仿宋" w:hAnsi="仿宋" w:eastAsia="仿宋"/>
        </w:rPr>
        <w:t>被诉</w:t>
      </w:r>
      <w:r>
        <w:rPr>
          <w:rFonts w:hint="eastAsia" w:ascii="仿宋" w:hAnsi="仿宋" w:eastAsia="仿宋"/>
        </w:rPr>
        <w:t>侵权产品、技术方案、生产方法、生产工艺和侵权获利的证据，具体方式可采用公证证据保全、诉前证据保全、诉中证据保全。</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83</w:t>
      </w:r>
      <w:r>
        <w:rPr>
          <w:rFonts w:hint="eastAsia" w:ascii="仿宋" w:hAnsi="仿宋" w:eastAsia="仿宋"/>
          <w:lang w:eastAsia="zh-Hans"/>
        </w:rPr>
        <w:t xml:space="preserve">.2 </w:t>
      </w:r>
      <w:r>
        <w:rPr>
          <w:rFonts w:hint="eastAsia" w:ascii="仿宋" w:hAnsi="仿宋" w:eastAsia="仿宋"/>
        </w:rPr>
        <w:t>公证证据保全</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为保护原告利益和防止证据灭失，原告律师可采用向公证机关申请证据保全的方式收集并固定证据。公证证据具有较强的证明力，除了有相反证据足以推翻公证证据的情形外，对经过公证的法律行为、法律事实和文书，其证据效力应当被确认。</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83</w:t>
      </w:r>
      <w:r>
        <w:rPr>
          <w:rFonts w:hint="eastAsia" w:ascii="仿宋" w:hAnsi="仿宋" w:eastAsia="仿宋"/>
          <w:lang w:eastAsia="zh-Hans"/>
        </w:rPr>
        <w:t xml:space="preserve">.3 </w:t>
      </w:r>
      <w:r>
        <w:rPr>
          <w:rFonts w:hint="eastAsia" w:ascii="仿宋" w:hAnsi="仿宋" w:eastAsia="仿宋"/>
        </w:rPr>
        <w:t>诉前证据保全</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诉前证据保全是向有管辖权的法院提出申请，并由法院裁定进行，有相应的难度。目前立法及实践中关于诉前证据保全的受理条件及程序均缺乏明确的规定。</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83</w:t>
      </w:r>
      <w:r>
        <w:rPr>
          <w:rFonts w:hint="eastAsia" w:ascii="仿宋" w:hAnsi="仿宋" w:eastAsia="仿宋"/>
          <w:lang w:eastAsia="zh-Hans"/>
        </w:rPr>
        <w:t xml:space="preserve">.4 </w:t>
      </w:r>
      <w:r>
        <w:rPr>
          <w:rFonts w:hint="eastAsia" w:ascii="仿宋" w:hAnsi="仿宋" w:eastAsia="仿宋"/>
        </w:rPr>
        <w:t>诉中证据保全</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rPr>
        <w:t>与诉前证据保全相比，诉中证据保全相对容易。但实践中通常还需要具备一定条件，譬</w:t>
      </w:r>
      <w:r>
        <w:rPr>
          <w:rFonts w:hint="eastAsia" w:ascii="仿宋" w:hAnsi="仿宋" w:eastAsia="仿宋"/>
          <w:color w:val="000000" w:themeColor="text1"/>
          <w14:textFill>
            <w14:solidFill>
              <w14:schemeClr w14:val="tx1"/>
            </w14:solidFill>
          </w14:textFill>
        </w:rPr>
        <w:t>如，原告的权利内容明确、权利来源和权利基础合法有效；同时，</w:t>
      </w:r>
      <w:r>
        <w:rPr>
          <w:rFonts w:ascii="仿宋" w:hAnsi="仿宋" w:eastAsia="仿宋"/>
          <w:color w:val="000000" w:themeColor="text1"/>
          <w14:textFill>
            <w14:solidFill>
              <w14:schemeClr w14:val="tx1"/>
            </w14:solidFill>
          </w14:textFill>
        </w:rPr>
        <w:t>被告</w:t>
      </w:r>
      <w:r>
        <w:rPr>
          <w:rFonts w:hint="eastAsia" w:ascii="仿宋" w:hAnsi="仿宋" w:eastAsia="仿宋"/>
          <w:color w:val="000000" w:themeColor="text1"/>
          <w14:textFill>
            <w14:solidFill>
              <w14:schemeClr w14:val="tx1"/>
            </w14:solidFill>
          </w14:textFill>
        </w:rPr>
        <w:t>侵权嫌疑较大；或者对于需保全证据的内容和具体线索，或者存在当事人确实不能通过公证等其他方式自行获取的情形。</w:t>
      </w:r>
      <w:r>
        <w:rPr>
          <w:rFonts w:hint="eastAsia" w:ascii="仿宋" w:hAnsi="仿宋" w:eastAsia="仿宋"/>
        </w:rPr>
        <w:t>法院可酌情要求原告提供相应的担保。同时，诉中证据保全有明确的法律依据，法院的受理条件与程序也较为明确，所以对于提出的申请，法院一般都会受理。而实务中，为了保证保全的实现，法院一般也都会采用先保全同时送达诉状或在保全后送达诉状的办法进行操作。</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color w:val="000000" w:themeColor="text1"/>
          <w14:textFill>
            <w14:solidFill>
              <w14:schemeClr w14:val="tx1"/>
            </w14:solidFill>
          </w14:textFill>
        </w:rPr>
        <w:t>第8</w:t>
      </w:r>
      <w:r>
        <w:rPr>
          <w:rFonts w:ascii="仿宋" w:hAnsi="仿宋" w:eastAsia="仿宋"/>
          <w:b/>
          <w:bCs/>
          <w:color w:val="000000" w:themeColor="text1"/>
          <w14:textFill>
            <w14:solidFill>
              <w14:schemeClr w14:val="tx1"/>
            </w14:solidFill>
          </w14:textFill>
        </w:rPr>
        <w:t>4</w:t>
      </w:r>
      <w:r>
        <w:rPr>
          <w:rFonts w:hint="eastAsia" w:ascii="仿宋" w:hAnsi="仿宋" w:eastAsia="仿宋"/>
          <w:b/>
          <w:bCs/>
          <w:color w:val="000000" w:themeColor="text1"/>
          <w14:textFill>
            <w14:solidFill>
              <w14:schemeClr w14:val="tx1"/>
            </w14:solidFill>
          </w14:textFill>
        </w:rPr>
        <w:t>条 【权利人难以自行取证的常见证据类型</w:t>
      </w:r>
      <w:r>
        <w:rPr>
          <w:rFonts w:hint="eastAsia" w:ascii="仿宋" w:hAnsi="仿宋" w:eastAsia="仿宋"/>
          <w:b/>
          <w:bCs/>
        </w:rPr>
        <w:t>】</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目前，权利人难以自行取证的证据主要是指由侵权人所控制管理的、且无法从外部直接予以取证的相关材料，主要有以下几种：</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由侵权人直接控制的、用以生产被诉侵权产品的专用模具、专用设备及被诉侵权产品的半成品；</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可反映生产或销售被诉侵权产品的数量、金额以及利润的财务帐册或报表、生产记录、仓储记录、销售合同、报价单、销售发票等；</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复制电脑及各种数据储存器中涉嫌侵权的程序、图纸、技术资料以及内部管理资料、客户资料等；</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其他难以自行取得的证据。</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第8</w:t>
      </w:r>
      <w:r>
        <w:rPr>
          <w:rFonts w:ascii="仿宋" w:hAnsi="仿宋" w:eastAsia="仿宋"/>
          <w:b/>
          <w:bCs/>
        </w:rPr>
        <w:t>5</w:t>
      </w:r>
      <w:r>
        <w:rPr>
          <w:rFonts w:hint="eastAsia" w:ascii="仿宋" w:hAnsi="仿宋" w:eastAsia="仿宋"/>
          <w:b/>
          <w:bCs/>
        </w:rPr>
        <w:t>条 【向法院提出申请证据保全的要求】</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5</w:t>
      </w:r>
      <w:r>
        <w:rPr>
          <w:rFonts w:hint="eastAsia" w:ascii="仿宋" w:hAnsi="仿宋" w:eastAsia="仿宋"/>
          <w:lang w:eastAsia="zh-Hans"/>
        </w:rPr>
        <w:t xml:space="preserve">.1 </w:t>
      </w:r>
      <w:r>
        <w:rPr>
          <w:rFonts w:hint="eastAsia" w:ascii="仿宋" w:hAnsi="仿宋" w:eastAsia="仿宋"/>
        </w:rPr>
        <w:t>申请人可以在起诉前申请证据保全，也可以在起诉时或者立案后申请证据保全，但一般不得迟于举证期限届满前七日。申请人超出该期限提出申请的，则需人民法院确定是否予以准许。</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但需要说明的是，为了保护原告利益以及为了防止被告毁灭证据，采用诉前证据保全应该是首选的方式，诉前向法院提出采取这种临时措施的申请，是防止商业秘密进一步扩散，防止损失扩大的有力保障。</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5</w:t>
      </w:r>
      <w:r>
        <w:rPr>
          <w:rFonts w:hint="eastAsia" w:ascii="仿宋" w:hAnsi="仿宋" w:eastAsia="仿宋"/>
          <w:lang w:eastAsia="zh-Hans"/>
        </w:rPr>
        <w:t xml:space="preserve">.2 </w:t>
      </w:r>
      <w:r>
        <w:rPr>
          <w:rFonts w:hint="eastAsia" w:ascii="仿宋" w:hAnsi="仿宋" w:eastAsia="仿宋"/>
        </w:rPr>
        <w:t>当事人申请证据保全应当递交书面申请，书面申请应当载明以下内容：</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当事人基本情况；</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申请保全证据的理由、内容、范围、所在地点；</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请求保全的证据</w:t>
      </w:r>
      <w:r>
        <w:rPr>
          <w:rFonts w:hint="eastAsia" w:ascii="仿宋" w:hAnsi="仿宋" w:eastAsia="仿宋"/>
          <w:color w:val="000000" w:themeColor="text1"/>
          <w14:textFill>
            <w14:solidFill>
              <w14:schemeClr w14:val="tx1"/>
            </w14:solidFill>
          </w14:textFill>
        </w:rPr>
        <w:t>及</w:t>
      </w:r>
      <w:r>
        <w:rPr>
          <w:rFonts w:hint="eastAsia" w:ascii="仿宋" w:hAnsi="仿宋" w:eastAsia="仿宋"/>
        </w:rPr>
        <w:t>能够证明的对象；</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证据可能灭失或者以后难以取得，且当事人及其诉讼代理人因客观原因等不能自行收集的具体说明。</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5</w:t>
      </w:r>
      <w:r>
        <w:rPr>
          <w:rFonts w:hint="eastAsia" w:ascii="仿宋" w:hAnsi="仿宋" w:eastAsia="仿宋"/>
          <w:lang w:eastAsia="zh-Hans"/>
        </w:rPr>
        <w:t xml:space="preserve">.3 </w:t>
      </w:r>
      <w:r>
        <w:rPr>
          <w:rFonts w:hint="eastAsia" w:ascii="仿宋" w:hAnsi="仿宋" w:eastAsia="仿宋"/>
        </w:rPr>
        <w:t>申请证据保全，申请人应当按照规定交纳保全费用。法院可以要求申请人提供被保全证据载体的销售价格、申请人或者市场上同类产品的销售价格作为实际保全证据载体的估值依据，并据此确定保全费用。但证据保全具有下列情形的，申请人可以不提供担保：</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采取照相、录像、勘验、制作笔录等方法足以固定证据，不需要采取查封、扣押措施的；</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复制财务帐册、销售合同等；</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提取的被诉侵权产品样品价值不大的；</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不会给被申请人造成经营上损失的其他情形。</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第8</w:t>
      </w:r>
      <w:r>
        <w:rPr>
          <w:rFonts w:ascii="仿宋" w:hAnsi="仿宋" w:eastAsia="仿宋"/>
          <w:b/>
          <w:bCs/>
        </w:rPr>
        <w:t>6</w:t>
      </w:r>
      <w:r>
        <w:rPr>
          <w:rFonts w:hint="eastAsia" w:ascii="仿宋" w:hAnsi="仿宋" w:eastAsia="仿宋"/>
          <w:b/>
          <w:bCs/>
        </w:rPr>
        <w:t xml:space="preserve">条 其它获取证据的途径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6</w:t>
      </w:r>
      <w:r>
        <w:rPr>
          <w:rFonts w:hint="eastAsia" w:ascii="仿宋" w:hAnsi="仿宋" w:eastAsia="仿宋"/>
          <w:lang w:eastAsia="zh-Hans"/>
        </w:rPr>
        <w:t xml:space="preserve">.1 </w:t>
      </w:r>
      <w:r>
        <w:rPr>
          <w:rFonts w:hint="eastAsia" w:ascii="仿宋" w:hAnsi="仿宋" w:eastAsia="仿宋"/>
        </w:rPr>
        <w:t>自行或者委托他人以普通购买者的名义向被诉侵权人购买侵权物品所取得的实物、票据；</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6</w:t>
      </w:r>
      <w:r>
        <w:rPr>
          <w:rFonts w:hint="eastAsia" w:ascii="仿宋" w:hAnsi="仿宋" w:eastAsia="仿宋"/>
          <w:lang w:eastAsia="zh-Hans"/>
        </w:rPr>
        <w:t xml:space="preserve">.2 </w:t>
      </w:r>
      <w:r>
        <w:rPr>
          <w:rFonts w:hint="eastAsia" w:ascii="仿宋" w:hAnsi="仿宋" w:eastAsia="仿宋"/>
        </w:rPr>
        <w:t>其他合法途径。</w:t>
      </w:r>
    </w:p>
    <w:p>
      <w:pPr>
        <w:pStyle w:val="3"/>
        <w:spacing w:after="0" w:line="312" w:lineRule="auto"/>
        <w:jc w:val="center"/>
        <w:rPr>
          <w:sz w:val="24"/>
          <w:szCs w:val="24"/>
        </w:rPr>
      </w:pPr>
      <w:bookmarkStart w:id="44" w:name="_Toc122294638"/>
      <w:r>
        <w:rPr>
          <w:rFonts w:hint="eastAsia"/>
          <w:sz w:val="24"/>
          <w:szCs w:val="24"/>
        </w:rPr>
        <w:t>第二节 司法鉴定及评估</w:t>
      </w:r>
      <w:bookmarkEnd w:id="44"/>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第8</w:t>
      </w:r>
      <w:r>
        <w:rPr>
          <w:rFonts w:ascii="仿宋" w:hAnsi="仿宋" w:eastAsia="仿宋"/>
          <w:b/>
          <w:bCs/>
        </w:rPr>
        <w:t>7</w:t>
      </w:r>
      <w:r>
        <w:rPr>
          <w:rFonts w:hint="eastAsia" w:ascii="仿宋" w:hAnsi="仿宋" w:eastAsia="仿宋"/>
          <w:b/>
          <w:bCs/>
        </w:rPr>
        <w:t xml:space="preserve">条 【司法鉴定及其内容】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根据法律规定，知识产权司法鉴定，是指鉴定人运用科学技术或者专门知识对诉讼活动或非诉讼活动中涉及的专门性问题进行鉴别和判断并提供鉴定意见的活动。而鉴定的内容主要是以下几个方面：</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7</w:t>
      </w:r>
      <w:r>
        <w:rPr>
          <w:rFonts w:hint="eastAsia" w:ascii="仿宋" w:hAnsi="仿宋" w:eastAsia="仿宋"/>
          <w:lang w:eastAsia="zh-Hans"/>
        </w:rPr>
        <w:t xml:space="preserve">.1 </w:t>
      </w:r>
      <w:r>
        <w:rPr>
          <w:rFonts w:hint="eastAsia" w:ascii="仿宋" w:hAnsi="仿宋" w:eastAsia="仿宋"/>
        </w:rPr>
        <w:t>一般是针对涉案的信息进行鉴定，包括非公知性（秘密性）鉴定和同一性鉴定两个部分。当事人应当明确鉴定的对象及其范围，即原告主张的技术信息是否不为公众所知悉；原、被告的技术信息是否相同或实质性相同。</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7</w:t>
      </w:r>
      <w:r>
        <w:rPr>
          <w:rFonts w:hint="eastAsia" w:ascii="仿宋" w:hAnsi="仿宋" w:eastAsia="仿宋"/>
          <w:lang w:eastAsia="zh-Hans"/>
        </w:rPr>
        <w:t xml:space="preserve">.2 </w:t>
      </w:r>
      <w:r>
        <w:rPr>
          <w:rFonts w:hint="eastAsia" w:ascii="仿宋" w:hAnsi="仿宋" w:eastAsia="仿宋"/>
        </w:rPr>
        <w:t>法院只能就专业技术事实和专业经营事实提出鉴定委托，权利人的技术信息、经营信息是否构成商业秘密，被诉侵权人是否侵权等是法律问题，不属于委托鉴定的范围，应由法院根据相应证据做出判定。</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7</w:t>
      </w:r>
      <w:r>
        <w:rPr>
          <w:rFonts w:hint="eastAsia" w:ascii="仿宋" w:hAnsi="仿宋" w:eastAsia="仿宋"/>
          <w:lang w:eastAsia="zh-Hans"/>
        </w:rPr>
        <w:t xml:space="preserve">.3 </w:t>
      </w:r>
      <w:r>
        <w:rPr>
          <w:rFonts w:hint="eastAsia" w:ascii="仿宋" w:hAnsi="仿宋" w:eastAsia="仿宋"/>
        </w:rPr>
        <w:t>鉴定事项要具有可操作性。在确定鉴定事项前可向法院申请提供技术专家作为辅助人参与诉讼，对鉴定事项的可鉴定性作出说明。</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第8</w:t>
      </w:r>
      <w:r>
        <w:rPr>
          <w:rFonts w:ascii="仿宋" w:hAnsi="仿宋" w:eastAsia="仿宋"/>
          <w:b/>
          <w:bCs/>
        </w:rPr>
        <w:t>8</w:t>
      </w:r>
      <w:r>
        <w:rPr>
          <w:rFonts w:hint="eastAsia" w:ascii="仿宋" w:hAnsi="仿宋" w:eastAsia="仿宋"/>
          <w:b/>
          <w:bCs/>
        </w:rPr>
        <w:t xml:space="preserve">条 【鉴定费用的交纳】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8</w:t>
      </w:r>
      <w:r>
        <w:rPr>
          <w:rFonts w:hint="eastAsia" w:ascii="仿宋" w:hAnsi="仿宋" w:eastAsia="仿宋"/>
          <w:lang w:eastAsia="zh-Hans"/>
        </w:rPr>
        <w:t xml:space="preserve">.1 </w:t>
      </w:r>
      <w:r>
        <w:rPr>
          <w:rFonts w:hint="eastAsia" w:ascii="仿宋" w:hAnsi="仿宋" w:eastAsia="仿宋"/>
        </w:rPr>
        <w:t>当事人一方主动申请技术鉴定的，在鉴定费的预交上一般不会产生争议，申请鉴定方通常会主动预交。</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8</w:t>
      </w:r>
      <w:r>
        <w:rPr>
          <w:rFonts w:hint="eastAsia" w:ascii="仿宋" w:hAnsi="仿宋" w:eastAsia="仿宋"/>
          <w:lang w:eastAsia="zh-Hans"/>
        </w:rPr>
        <w:t xml:space="preserve">.2 </w:t>
      </w:r>
      <w:r>
        <w:rPr>
          <w:rFonts w:hint="eastAsia" w:ascii="仿宋" w:hAnsi="仿宋" w:eastAsia="仿宋"/>
        </w:rPr>
        <w:t>当事人双方均不申请技术鉴定，但法院出于查清案情的需要依职权启动司法鉴定程序时，当事人往往以本案不需要鉴定，对方当事人对鉴定事项负有举证责任等理由拒绝交纳鉴定费用。对此，一方面可加强协调工作，促成当事人就鉴定费用的负担达成一致；另一方面，应当明确举证责任，加强法律释明。</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w:t>
      </w:r>
      <w:r>
        <w:rPr>
          <w:rFonts w:ascii="仿宋" w:hAnsi="仿宋" w:eastAsia="仿宋"/>
        </w:rPr>
        <w:t>8</w:t>
      </w:r>
      <w:r>
        <w:rPr>
          <w:rFonts w:hint="eastAsia" w:ascii="仿宋" w:hAnsi="仿宋" w:eastAsia="仿宋"/>
          <w:lang w:eastAsia="zh-Hans"/>
        </w:rPr>
        <w:t xml:space="preserve">.3 </w:t>
      </w:r>
      <w:r>
        <w:rPr>
          <w:rFonts w:hint="eastAsia" w:ascii="仿宋" w:hAnsi="仿宋" w:eastAsia="仿宋"/>
        </w:rPr>
        <w:t>多数情况下，原告应对是否构成技术秘密、双方技术内容的相同或实质性相同承担举证责任，因此，应由其先行负担鉴定费用。但也不能排除应由被告先行负担鉴定费用的情形。因此，合议庭</w:t>
      </w:r>
      <w:r>
        <w:rPr>
          <w:rFonts w:hint="eastAsia" w:ascii="仿宋" w:hAnsi="仿宋" w:eastAsia="仿宋"/>
          <w:color w:val="000000" w:themeColor="text1"/>
          <w14:textFill>
            <w14:solidFill>
              <w14:schemeClr w14:val="tx1"/>
            </w14:solidFill>
          </w14:textFill>
        </w:rPr>
        <w:t>一般会</w:t>
      </w:r>
      <w:r>
        <w:rPr>
          <w:rFonts w:hint="eastAsia" w:ascii="仿宋" w:hAnsi="仿宋" w:eastAsia="仿宋"/>
        </w:rPr>
        <w:t>明确鉴定事项的举证责任，在此基础上确定鉴定费用的预先负担方，并向当事人作充分释明。如果当事人经释明后仍拒不交纳鉴定费用致使鉴定程序无法启动的，则可按照举证责任确定法律后果。</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w:t>
      </w:r>
      <w:r>
        <w:rPr>
          <w:rFonts w:ascii="仿宋" w:hAnsi="仿宋" w:eastAsia="仿宋"/>
          <w:b/>
          <w:bCs/>
        </w:rPr>
        <w:t>89</w:t>
      </w:r>
      <w:r>
        <w:rPr>
          <w:rFonts w:hint="eastAsia" w:ascii="仿宋" w:hAnsi="仿宋" w:eastAsia="仿宋"/>
          <w:b/>
          <w:bCs/>
        </w:rPr>
        <w:t xml:space="preserve">条 【鉴定程序的保密问题】 </w:t>
      </w:r>
    </w:p>
    <w:p>
      <w:pPr>
        <w:tabs>
          <w:tab w:val="left" w:pos="709"/>
          <w:tab w:val="left" w:pos="851"/>
          <w:tab w:val="left" w:pos="1134"/>
        </w:tabs>
        <w:spacing w:line="312" w:lineRule="auto"/>
        <w:ind w:firstLine="480" w:firstLineChars="200"/>
        <w:rPr>
          <w:rFonts w:ascii="仿宋" w:hAnsi="仿宋" w:eastAsia="仿宋"/>
        </w:rPr>
      </w:pPr>
      <w:r>
        <w:rPr>
          <w:rFonts w:ascii="仿宋" w:hAnsi="仿宋" w:eastAsia="仿宋"/>
          <w:lang w:eastAsia="zh-Hans"/>
        </w:rPr>
        <w:t>89</w:t>
      </w:r>
      <w:r>
        <w:rPr>
          <w:rFonts w:hint="eastAsia" w:ascii="仿宋" w:hAnsi="仿宋" w:eastAsia="仿宋"/>
          <w:lang w:eastAsia="zh-Hans"/>
        </w:rPr>
        <w:t xml:space="preserve">.1 </w:t>
      </w:r>
      <w:r>
        <w:rPr>
          <w:rFonts w:hint="eastAsia" w:ascii="仿宋" w:hAnsi="仿宋" w:eastAsia="仿宋"/>
        </w:rPr>
        <w:t>为防止泄露商业秘密，可申请法院要求双方当事人、委托代理人、技术专家等诉讼参与人签署保密协议，承诺不泄露在诉讼过程中所掌握的当事人的商业秘密，如有泄露则承担相应的法律责任。</w:t>
      </w:r>
    </w:p>
    <w:p>
      <w:pPr>
        <w:tabs>
          <w:tab w:val="left" w:pos="709"/>
          <w:tab w:val="left" w:pos="851"/>
          <w:tab w:val="left" w:pos="1134"/>
        </w:tabs>
        <w:spacing w:line="312" w:lineRule="auto"/>
        <w:ind w:firstLine="480" w:firstLineChars="200"/>
        <w:rPr>
          <w:rFonts w:ascii="仿宋" w:hAnsi="仿宋" w:eastAsia="仿宋"/>
        </w:rPr>
      </w:pPr>
      <w:r>
        <w:rPr>
          <w:rFonts w:ascii="仿宋" w:hAnsi="仿宋" w:eastAsia="仿宋"/>
          <w:lang w:eastAsia="zh-Hans"/>
        </w:rPr>
        <w:t>89</w:t>
      </w:r>
      <w:r>
        <w:rPr>
          <w:rFonts w:hint="eastAsia" w:ascii="仿宋" w:hAnsi="仿宋" w:eastAsia="仿宋"/>
          <w:lang w:eastAsia="zh-Hans"/>
        </w:rPr>
        <w:t xml:space="preserve">.2 </w:t>
      </w:r>
      <w:r>
        <w:rPr>
          <w:rFonts w:hint="eastAsia" w:ascii="仿宋" w:hAnsi="仿宋" w:eastAsia="仿宋"/>
        </w:rPr>
        <w:t>鉴定材料在移送时，可以建议法院，在鉴定材料质证合格后当面封存，并让双方当事人在笔录上签名或盖章，以及在鉴定材料封口处签名。</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《最高人民法院关于审理侵犯商业秘密民事案件适用法律若干问题的规定》第21条</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0</w:t>
      </w:r>
      <w:r>
        <w:rPr>
          <w:rFonts w:hint="eastAsia" w:ascii="仿宋" w:hAnsi="仿宋" w:eastAsia="仿宋"/>
          <w:b/>
          <w:bCs/>
        </w:rPr>
        <w:t>条 【对鉴定报告的质证和采信问题】</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0</w:t>
      </w:r>
      <w:r>
        <w:rPr>
          <w:rFonts w:hint="eastAsia" w:ascii="仿宋" w:hAnsi="仿宋" w:eastAsia="仿宋"/>
          <w:lang w:eastAsia="zh-Hans"/>
        </w:rPr>
        <w:t xml:space="preserve">.1 </w:t>
      </w:r>
      <w:r>
        <w:rPr>
          <w:rFonts w:hint="eastAsia" w:ascii="仿宋" w:hAnsi="仿宋" w:eastAsia="仿宋"/>
        </w:rPr>
        <w:t>鉴定报告要经过当事人质证才能作为定案依据，当事人对鉴定书的内容有异议的，应当在人民法院指定期间内以书面方式提出。</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0</w:t>
      </w:r>
      <w:r>
        <w:rPr>
          <w:rFonts w:hint="eastAsia" w:ascii="仿宋" w:hAnsi="仿宋" w:eastAsia="仿宋"/>
          <w:lang w:eastAsia="zh-Hans"/>
        </w:rPr>
        <w:t xml:space="preserve">.2 </w:t>
      </w:r>
      <w:r>
        <w:rPr>
          <w:rFonts w:hint="eastAsia" w:ascii="仿宋" w:hAnsi="仿宋" w:eastAsia="仿宋"/>
        </w:rPr>
        <w:t>律师对鉴定报告的质证，重点考虑以下几方面因素：</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鉴定人或鉴定机构是否合法；</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鉴定人是否具备解决相关技术问题所应具备的知识、经验和技能；</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鉴定所使用的技术设备是否先进，鉴定方法和操作程序是否规范，技术手段是否可靠；</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鉴定过程中如涉及检验、试验，其程序规范和检验方法是否符合有关国家标准或者行业标准；</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（5） 送检材料是否符合鉴定条件；</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（6） 鉴定结论中的论据是否充分，论证是否严谨，有无矛盾；</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（7） 鉴定人有无应回避的事由；</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（8） 鉴定人在鉴定过程中有无徇私舞弊的行为。</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0</w:t>
      </w:r>
      <w:r>
        <w:rPr>
          <w:rFonts w:hint="eastAsia" w:ascii="仿宋" w:hAnsi="仿宋" w:eastAsia="仿宋"/>
          <w:lang w:eastAsia="zh-Hans"/>
        </w:rPr>
        <w:t xml:space="preserve">.3 </w:t>
      </w:r>
      <w:r>
        <w:rPr>
          <w:rFonts w:hint="eastAsia" w:ascii="仿宋" w:hAnsi="仿宋" w:eastAsia="仿宋"/>
          <w:color w:val="000000" w:themeColor="text1"/>
          <w14:textFill>
            <w14:solidFill>
              <w14:schemeClr w14:val="tx1"/>
            </w14:solidFill>
          </w14:textFill>
        </w:rPr>
        <w:t>对于鉴定报告的质证和采信，关键是鉴定人的出庭</w:t>
      </w:r>
      <w:r>
        <w:rPr>
          <w:rFonts w:hint="eastAsia" w:ascii="仿宋" w:hAnsi="仿宋" w:eastAsia="仿宋"/>
        </w:rPr>
        <w:t>问题，律师应主动申请法院通知鉴定机构派员出庭接受质询，鉴定人应当出庭接受当事人质询。律师应主动申请具有专门知识的人出庭协助质证。</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1</w:t>
      </w:r>
      <w:r>
        <w:rPr>
          <w:rFonts w:hint="eastAsia" w:ascii="仿宋" w:hAnsi="仿宋" w:eastAsia="仿宋"/>
          <w:b/>
          <w:bCs/>
        </w:rPr>
        <w:t xml:space="preserve">条 【商业秘密价值评估】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1</w:t>
      </w:r>
      <w:r>
        <w:rPr>
          <w:rFonts w:hint="eastAsia" w:ascii="仿宋" w:hAnsi="仿宋" w:eastAsia="仿宋"/>
          <w:lang w:eastAsia="zh-Hans"/>
        </w:rPr>
        <w:t xml:space="preserve">.1 </w:t>
      </w:r>
      <w:r>
        <w:rPr>
          <w:rFonts w:hint="eastAsia" w:ascii="仿宋" w:hAnsi="仿宋" w:eastAsia="仿宋"/>
        </w:rPr>
        <w:t>【评估机构】</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商业秘密价值评估属于专业鉴定的一种，应当委托具有资质的鉴定人进行评估，而且要求鉴定机构和人员必须取得评估需要的资格。</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1</w:t>
      </w:r>
      <w:r>
        <w:rPr>
          <w:rFonts w:hint="eastAsia" w:ascii="仿宋" w:hAnsi="仿宋" w:eastAsia="仿宋"/>
          <w:lang w:eastAsia="zh-Hans"/>
        </w:rPr>
        <w:t xml:space="preserve">.2 </w:t>
      </w:r>
      <w:r>
        <w:rPr>
          <w:rFonts w:hint="eastAsia" w:ascii="仿宋" w:hAnsi="仿宋" w:eastAsia="仿宋"/>
        </w:rPr>
        <w:t>【评估内容】</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rPr>
        <w:t>商业秘密评估的内容通常涉及两项，一项是被侵害商业秘密的价值评估，另一项是被侵害商业秘密由于侵权而导致</w:t>
      </w:r>
      <w:r>
        <w:rPr>
          <w:rFonts w:hint="eastAsia" w:ascii="仿宋" w:hAnsi="仿宋" w:eastAsia="仿宋"/>
          <w:color w:val="000000" w:themeColor="text1"/>
          <w14:textFill>
            <w14:solidFill>
              <w14:schemeClr w14:val="tx1"/>
            </w14:solidFill>
          </w14:textFill>
        </w:rPr>
        <w:t>的权利人的损失。</w:t>
      </w:r>
    </w:p>
    <w:p>
      <w:pPr>
        <w:tabs>
          <w:tab w:val="left" w:pos="709"/>
          <w:tab w:val="left" w:pos="851"/>
          <w:tab w:val="left" w:pos="1134"/>
        </w:tabs>
        <w:spacing w:line="312" w:lineRule="auto"/>
        <w:ind w:firstLine="480" w:firstLineChars="200"/>
        <w:jc w:val="both"/>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t>司法实践中，</w:t>
      </w:r>
      <w:r>
        <w:rPr>
          <w:rFonts w:hint="eastAsia" w:ascii="仿宋" w:hAnsi="仿宋" w:eastAsia="仿宋"/>
          <w:color w:val="000000" w:themeColor="text1"/>
          <w14:textFill>
            <w14:solidFill>
              <w14:schemeClr w14:val="tx1"/>
            </w14:solidFill>
          </w14:textFill>
        </w:rPr>
        <w:t>商业秘密价值评估中的虚拟</w:t>
      </w:r>
      <w:r>
        <w:rPr>
          <w:rFonts w:ascii="仿宋" w:hAnsi="仿宋" w:eastAsia="仿宋"/>
          <w:color w:val="000000" w:themeColor="text1"/>
          <w14:textFill>
            <w14:solidFill>
              <w14:schemeClr w14:val="tx1"/>
            </w14:solidFill>
          </w14:textFill>
        </w:rPr>
        <w:t>许可使用费</w:t>
      </w:r>
      <w:r>
        <w:rPr>
          <w:rFonts w:hint="eastAsia" w:ascii="仿宋" w:hAnsi="仿宋" w:eastAsia="仿宋"/>
          <w:color w:val="000000" w:themeColor="text1"/>
          <w14:textFill>
            <w14:solidFill>
              <w14:schemeClr w14:val="tx1"/>
            </w14:solidFill>
          </w14:textFill>
        </w:rPr>
        <w:t>评估，是指</w:t>
      </w:r>
      <w:r>
        <w:rPr>
          <w:rFonts w:ascii="仿宋" w:hAnsi="仿宋" w:eastAsia="仿宋"/>
          <w:color w:val="000000" w:themeColor="text1"/>
          <w14:textFill>
            <w14:solidFill>
              <w14:schemeClr w14:val="tx1"/>
            </w14:solidFill>
          </w14:textFill>
        </w:rPr>
        <w:t>对于</w:t>
      </w:r>
      <w:r>
        <w:rPr>
          <w:rFonts w:hint="eastAsia" w:ascii="仿宋" w:hAnsi="仿宋" w:eastAsia="仿宋"/>
          <w:color w:val="000000" w:themeColor="text1"/>
          <w14:textFill>
            <w14:solidFill>
              <w14:schemeClr w14:val="tx1"/>
            </w14:solidFill>
          </w14:textFill>
        </w:rPr>
        <w:t>未</w:t>
      </w:r>
      <w:r>
        <w:rPr>
          <w:rFonts w:ascii="仿宋" w:hAnsi="仿宋" w:eastAsia="仿宋"/>
          <w:color w:val="000000" w:themeColor="text1"/>
          <w14:textFill>
            <w14:solidFill>
              <w14:schemeClr w14:val="tx1"/>
            </w14:solidFill>
          </w14:textFill>
        </w:rPr>
        <w:t>实际发生，</w:t>
      </w:r>
      <w:r>
        <w:rPr>
          <w:rFonts w:hint="eastAsia" w:ascii="仿宋" w:hAnsi="仿宋" w:eastAsia="仿宋"/>
          <w:color w:val="000000" w:themeColor="text1"/>
          <w14:textFill>
            <w14:solidFill>
              <w14:schemeClr w14:val="tx1"/>
            </w14:solidFill>
          </w14:textFill>
        </w:rPr>
        <w:t>而</w:t>
      </w:r>
      <w:r>
        <w:rPr>
          <w:rFonts w:ascii="仿宋" w:hAnsi="仿宋" w:eastAsia="仿宋"/>
          <w:color w:val="000000" w:themeColor="text1"/>
          <w14:textFill>
            <w14:solidFill>
              <w14:schemeClr w14:val="tx1"/>
            </w14:solidFill>
          </w14:textFill>
        </w:rPr>
        <w:t>又有许可价值的商业秘密</w:t>
      </w:r>
      <w:r>
        <w:rPr>
          <w:rFonts w:hint="eastAsia" w:ascii="仿宋" w:hAnsi="仿宋" w:eastAsia="仿宋"/>
          <w:color w:val="000000" w:themeColor="text1"/>
          <w14:textFill>
            <w14:solidFill>
              <w14:schemeClr w14:val="tx1"/>
            </w14:solidFill>
          </w14:textFill>
        </w:rPr>
        <w:t>虚拟许可价值进行评估。国外对该虚拟价值大多通过专家辅助人来确定，而国内则采用鉴定方法来进行确定。</w:t>
      </w:r>
    </w:p>
    <w:p>
      <w:pPr>
        <w:tabs>
          <w:tab w:val="left" w:pos="709"/>
          <w:tab w:val="left" w:pos="851"/>
          <w:tab w:val="left" w:pos="1134"/>
        </w:tabs>
        <w:spacing w:line="312"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9</w:t>
      </w:r>
      <w:r>
        <w:rPr>
          <w:rFonts w:ascii="仿宋" w:hAnsi="仿宋" w:eastAsia="仿宋"/>
          <w:color w:val="000000" w:themeColor="text1"/>
          <w14:textFill>
            <w14:solidFill>
              <w14:schemeClr w14:val="tx1"/>
            </w14:solidFill>
          </w14:textFill>
        </w:rPr>
        <w:t>1</w:t>
      </w:r>
      <w:r>
        <w:rPr>
          <w:rFonts w:hint="eastAsia" w:ascii="仿宋" w:hAnsi="仿宋" w:eastAsia="仿宋"/>
          <w:color w:val="000000" w:themeColor="text1"/>
          <w:lang w:eastAsia="zh-Hans"/>
          <w14:textFill>
            <w14:solidFill>
              <w14:schemeClr w14:val="tx1"/>
            </w14:solidFill>
          </w14:textFill>
        </w:rPr>
        <w:t xml:space="preserve">.3 </w:t>
      </w:r>
      <w:r>
        <w:rPr>
          <w:rFonts w:hint="eastAsia" w:ascii="仿宋" w:hAnsi="仿宋" w:eastAsia="仿宋"/>
          <w:color w:val="000000" w:themeColor="text1"/>
          <w14:textFill>
            <w14:solidFill>
              <w14:schemeClr w14:val="tx1"/>
            </w14:solidFill>
          </w14:textFill>
        </w:rPr>
        <w:t>【评估方法】</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color w:val="000000" w:themeColor="text1"/>
          <w14:textFill>
            <w14:solidFill>
              <w14:schemeClr w14:val="tx1"/>
            </w14:solidFill>
          </w14:textFill>
        </w:rPr>
        <w:t>商业秘密的评估方法主要包括收益现值法、重置成本法、现行市价法和清算价格法，评估机构和评估人员一般根据商业</w:t>
      </w:r>
      <w:r>
        <w:rPr>
          <w:rFonts w:hint="eastAsia" w:ascii="仿宋" w:hAnsi="仿宋" w:eastAsia="仿宋"/>
        </w:rPr>
        <w:t>秘密资产的有关情况进行恰当选择。</w:t>
      </w:r>
    </w:p>
    <w:p>
      <w:pPr>
        <w:pStyle w:val="3"/>
        <w:spacing w:after="0" w:line="312" w:lineRule="auto"/>
        <w:jc w:val="center"/>
        <w:rPr>
          <w:sz w:val="24"/>
          <w:szCs w:val="24"/>
        </w:rPr>
      </w:pPr>
      <w:bookmarkStart w:id="45" w:name="_Toc122294639"/>
      <w:r>
        <w:rPr>
          <w:rFonts w:hint="eastAsia"/>
          <w:sz w:val="24"/>
          <w:szCs w:val="24"/>
        </w:rPr>
        <w:t>第三节 行为保全（禁令）</w:t>
      </w:r>
      <w:bookmarkEnd w:id="45"/>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2</w:t>
      </w:r>
      <w:r>
        <w:rPr>
          <w:rFonts w:hint="eastAsia" w:ascii="仿宋" w:hAnsi="仿宋" w:eastAsia="仿宋"/>
          <w:b/>
          <w:bCs/>
        </w:rPr>
        <w:t xml:space="preserve">条 【行为保全的概念】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2</w:t>
      </w:r>
      <w:r>
        <w:rPr>
          <w:rFonts w:hint="eastAsia" w:ascii="仿宋" w:hAnsi="仿宋" w:eastAsia="仿宋"/>
          <w:lang w:eastAsia="zh-Hans"/>
        </w:rPr>
        <w:t xml:space="preserve">.1 </w:t>
      </w:r>
      <w:r>
        <w:rPr>
          <w:rFonts w:hint="eastAsia" w:ascii="仿宋" w:hAnsi="仿宋" w:eastAsia="仿宋"/>
        </w:rPr>
        <w:t>【概念】</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行为保全是在有侵权可能性的紧急情况下，由权利人或者利害关系人提起的一种救济程序，申请法院责令涉嫌侵权的当事人做出或者禁止其做出一定的行为，避免权利人因冗长的诉讼纠纷遭受难以弥补的损害后果。</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2</w:t>
      </w:r>
      <w:r>
        <w:rPr>
          <w:rFonts w:hint="eastAsia" w:ascii="仿宋" w:hAnsi="仿宋" w:eastAsia="仿宋"/>
          <w:lang w:eastAsia="zh-Hans"/>
        </w:rPr>
        <w:t xml:space="preserve">.2 </w:t>
      </w:r>
      <w:r>
        <w:rPr>
          <w:rFonts w:hint="eastAsia" w:ascii="仿宋" w:hAnsi="仿宋" w:eastAsia="仿宋"/>
        </w:rPr>
        <w:t>【分类】</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行为保全分为诉前行为保全及诉中行为保全，二者的主要区别在于申请时间的不同。</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2</w:t>
      </w:r>
      <w:r>
        <w:rPr>
          <w:rFonts w:hint="eastAsia" w:ascii="仿宋" w:hAnsi="仿宋" w:eastAsia="仿宋"/>
          <w:lang w:eastAsia="zh-Hans"/>
        </w:rPr>
        <w:t xml:space="preserve">.3 </w:t>
      </w:r>
      <w:r>
        <w:rPr>
          <w:rFonts w:hint="eastAsia" w:ascii="仿宋" w:hAnsi="仿宋" w:eastAsia="仿宋"/>
        </w:rPr>
        <w:t>【效力】</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行为保全措施是一项临时性措施，通常仅维持至判决生效之日。</w:t>
      </w:r>
    </w:p>
    <w:p>
      <w:pPr>
        <w:tabs>
          <w:tab w:val="left" w:pos="709"/>
          <w:tab w:val="left" w:pos="851"/>
          <w:tab w:val="left" w:pos="1134"/>
        </w:tabs>
        <w:spacing w:line="312" w:lineRule="auto"/>
        <w:ind w:firstLine="482" w:firstLineChars="200"/>
        <w:rPr>
          <w:rFonts w:ascii="仿宋" w:hAnsi="仿宋" w:eastAsia="仿宋"/>
        </w:rPr>
      </w:pPr>
      <w:r>
        <w:rPr>
          <w:rFonts w:hint="eastAsia" w:ascii="仿宋" w:hAnsi="仿宋" w:eastAsia="仿宋"/>
          <w:b/>
          <w:bCs/>
          <w:color w:val="000000"/>
        </w:rPr>
        <w:t>【法律规定】</w:t>
      </w:r>
      <w:r>
        <w:rPr>
          <w:rFonts w:hint="eastAsia" w:ascii="仿宋" w:hAnsi="仿宋" w:eastAsia="仿宋"/>
        </w:rPr>
        <w:t>《最高人民法院关于审查知识产权纠纷行为保全案件适用法律若干问题的规定》（以下简称《行为保全规定》）自 2019年1月1日起正式实施，在此之前，知识产权行为保全的规定主要分布在《专利法》《商标法》《著作权法》中关于诉前停止侵犯知识产权的规定及相关司法解释，以及2012年修改的《民事诉讼法》，及《最高人民法院关于适用&lt;中华人民共和国民事诉讼法&gt;的解释》（简称《民事诉讼法司法解释》）中有关行为保全的规定。</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3</w:t>
      </w:r>
      <w:r>
        <w:rPr>
          <w:rFonts w:hint="eastAsia" w:ascii="仿宋" w:hAnsi="仿宋" w:eastAsia="仿宋"/>
          <w:b/>
          <w:bCs/>
        </w:rPr>
        <w:t xml:space="preserve">条 【商业秘密的行为保全】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3</w:t>
      </w:r>
      <w:r>
        <w:rPr>
          <w:rFonts w:hint="eastAsia" w:ascii="仿宋" w:hAnsi="仿宋" w:eastAsia="仿宋"/>
          <w:lang w:eastAsia="zh-Hans"/>
        </w:rPr>
        <w:t xml:space="preserve">.1 </w:t>
      </w:r>
      <w:r>
        <w:rPr>
          <w:rFonts w:hint="eastAsia" w:ascii="仿宋" w:hAnsi="仿宋" w:eastAsia="仿宋"/>
        </w:rPr>
        <w:t>被申请人试图或者已经以不正当手段获取、披露、使用或者允许他人使用权利人所主张的商业秘密，不采取行为保全措施会使判决难以执行或者造成当事人其他损害，或者将会使权利人的合法权益受到难以弥补的损害的，法院可以依法裁定采取行为保全措施。</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3</w:t>
      </w:r>
      <w:r>
        <w:rPr>
          <w:rFonts w:hint="eastAsia" w:ascii="仿宋" w:hAnsi="仿宋" w:eastAsia="仿宋"/>
          <w:lang w:eastAsia="zh-Hans"/>
        </w:rPr>
        <w:t>.</w:t>
      </w:r>
      <w:r>
        <w:rPr>
          <w:rFonts w:ascii="仿宋" w:hAnsi="仿宋" w:eastAsia="仿宋"/>
          <w:lang w:eastAsia="zh-Hans"/>
        </w:rPr>
        <w:t xml:space="preserve">2 </w:t>
      </w:r>
      <w:r>
        <w:rPr>
          <w:rFonts w:hint="eastAsia" w:ascii="仿宋" w:hAnsi="仿宋" w:eastAsia="仿宋"/>
        </w:rPr>
        <w:t>属于《民事诉讼法》第一百零三条、第一百零四条所称情况紧急的，法院应当在四十八小时内作出裁定。</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bCs/>
          <w:color w:val="000000"/>
        </w:rPr>
        <w:t>《民事诉讼法》（2021）第一百零三条、第一百零四条</w:t>
      </w:r>
      <w:bookmarkStart w:id="46" w:name="16"/>
      <w:bookmarkEnd w:id="46"/>
      <w:r>
        <w:rPr>
          <w:rFonts w:hint="eastAsia" w:ascii="仿宋" w:hAnsi="仿宋" w:eastAsia="仿宋"/>
          <w:bCs/>
          <w:color w:val="000000"/>
        </w:rPr>
        <w:t>。</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4</w:t>
      </w:r>
      <w:r>
        <w:rPr>
          <w:rFonts w:hint="eastAsia" w:ascii="仿宋" w:hAnsi="仿宋" w:eastAsia="仿宋"/>
          <w:b/>
          <w:bCs/>
        </w:rPr>
        <w:t xml:space="preserve">条 【申请主体】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bCs/>
        </w:rPr>
        <w:t>9</w:t>
      </w:r>
      <w:r>
        <w:rPr>
          <w:rFonts w:ascii="仿宋" w:hAnsi="仿宋" w:eastAsia="仿宋"/>
          <w:bCs/>
        </w:rPr>
        <w:t>4</w:t>
      </w:r>
      <w:r>
        <w:rPr>
          <w:rFonts w:hint="eastAsia" w:ascii="仿宋" w:hAnsi="仿宋" w:eastAsia="仿宋"/>
          <w:bCs/>
          <w:lang w:eastAsia="zh-Hans"/>
        </w:rPr>
        <w:t xml:space="preserve">.1 </w:t>
      </w:r>
      <w:r>
        <w:rPr>
          <w:rFonts w:hint="eastAsia" w:ascii="仿宋" w:hAnsi="仿宋" w:eastAsia="仿宋"/>
          <w:bCs/>
        </w:rPr>
        <w:t>提起行为保全的申请人资格：</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bCs/>
        </w:rPr>
        <w:t>（1） 原始权利人：即</w:t>
      </w:r>
      <w:r>
        <w:rPr>
          <w:rFonts w:hint="eastAsia" w:ascii="仿宋" w:hAnsi="仿宋" w:eastAsia="仿宋"/>
        </w:rPr>
        <w:t>商业秘密的持有人；</w:t>
      </w:r>
    </w:p>
    <w:p>
      <w:pPr>
        <w:tabs>
          <w:tab w:val="left" w:pos="709"/>
          <w:tab w:val="left" w:pos="851"/>
          <w:tab w:val="left" w:pos="1134"/>
        </w:tabs>
        <w:spacing w:line="312" w:lineRule="auto"/>
        <w:ind w:firstLine="480" w:firstLineChars="200"/>
        <w:rPr>
          <w:rFonts w:ascii="仿宋" w:hAnsi="仿宋" w:eastAsia="仿宋"/>
          <w:color w:val="000000"/>
        </w:rPr>
      </w:pPr>
      <w:r>
        <w:rPr>
          <w:rFonts w:hint="eastAsia" w:ascii="仿宋" w:hAnsi="仿宋" w:eastAsia="仿宋"/>
          <w:bCs/>
        </w:rPr>
        <w:t xml:space="preserve">（2） </w:t>
      </w:r>
      <w:r>
        <w:rPr>
          <w:rFonts w:hint="eastAsia" w:ascii="仿宋" w:hAnsi="仿宋" w:eastAsia="仿宋"/>
        </w:rPr>
        <w:t>被许可人：独占许可合同的被许可人可以单独向法院提出申请；排他许可合同的被许可人在权利人不申请的情况下，可以单独提出申请；普通许可合同的被许可人经权利人</w:t>
      </w:r>
      <w:r>
        <w:rPr>
          <w:rFonts w:hint="eastAsia" w:ascii="仿宋" w:hAnsi="仿宋" w:eastAsia="仿宋"/>
          <w:color w:val="000000"/>
        </w:rPr>
        <w:t>明确授权以自己的名义起诉的，可以单独提出申请。</w:t>
      </w:r>
    </w:p>
    <w:p>
      <w:pPr>
        <w:tabs>
          <w:tab w:val="left" w:pos="709"/>
          <w:tab w:val="left" w:pos="851"/>
          <w:tab w:val="left" w:pos="1134"/>
        </w:tabs>
        <w:spacing w:line="312" w:lineRule="auto"/>
        <w:ind w:firstLine="482" w:firstLineChars="200"/>
        <w:rPr>
          <w:rFonts w:ascii="仿宋" w:hAnsi="仿宋" w:eastAsia="仿宋"/>
          <w:b/>
          <w:bCs/>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《最高人民法院关于审查知识产权纠纷行为保全案件适用法律若干问题的规定》第二条</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bCs/>
        </w:rPr>
        <w:t>9</w:t>
      </w:r>
      <w:r>
        <w:rPr>
          <w:rFonts w:ascii="仿宋" w:hAnsi="仿宋" w:eastAsia="仿宋"/>
          <w:bCs/>
        </w:rPr>
        <w:t>4</w:t>
      </w:r>
      <w:r>
        <w:rPr>
          <w:rFonts w:hint="eastAsia" w:ascii="仿宋" w:hAnsi="仿宋" w:eastAsia="仿宋"/>
          <w:bCs/>
          <w:lang w:eastAsia="zh-Hans"/>
        </w:rPr>
        <w:t xml:space="preserve">.2 </w:t>
      </w:r>
      <w:r>
        <w:rPr>
          <w:rFonts w:hint="eastAsia" w:ascii="仿宋" w:hAnsi="仿宋" w:eastAsia="仿宋"/>
          <w:bCs/>
        </w:rPr>
        <w:t>被申请人的资格：</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被申请人不以“经营者”为限，经营者以外的其他自然人、法人和非法人组织侵犯商业秘密，权利人依据《反不正当竞争法》第十七条的规定主张侵权人应当承担的民事责任的，人民法院应予支持。可针对其提起行为保全，应为承担民事责任的一种保障或方式，因此，行为保全的被申请人应不以“经营者”为限。</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《最高人民法院关于审理侵犯商业秘密民事案件适用法律若干问题的规定》第十六条</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5</w:t>
      </w:r>
      <w:r>
        <w:rPr>
          <w:rFonts w:hint="eastAsia" w:ascii="仿宋" w:hAnsi="仿宋" w:eastAsia="仿宋"/>
          <w:b/>
          <w:bCs/>
        </w:rPr>
        <w:t>条 【管 辖】</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bCs/>
        </w:rPr>
        <w:t>9</w:t>
      </w:r>
      <w:r>
        <w:rPr>
          <w:rFonts w:ascii="仿宋" w:hAnsi="仿宋" w:eastAsia="仿宋"/>
          <w:bCs/>
        </w:rPr>
        <w:t>5</w:t>
      </w:r>
      <w:r>
        <w:rPr>
          <w:rFonts w:hint="eastAsia" w:ascii="仿宋" w:hAnsi="仿宋" w:eastAsia="仿宋"/>
          <w:bCs/>
          <w:lang w:eastAsia="zh-Hans"/>
        </w:rPr>
        <w:t xml:space="preserve">.1 </w:t>
      </w:r>
      <w:r>
        <w:rPr>
          <w:rFonts w:hint="eastAsia" w:ascii="仿宋" w:hAnsi="仿宋" w:eastAsia="仿宋"/>
          <w:bCs/>
        </w:rPr>
        <w:t>【申请行为保全的管辖法院】</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申请诉前行为保全的管辖法院：申请诉前行为保全，应当向被申请人住所地具有相应知识产权纠纷管辖权的人民法院或者对案件具有管辖权的人民法院提出。申请诉讼行为保全的，向受理案件的法院提出申请。当事人约定仲裁的，应当向前款规定的人民法院申请行为保全。</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《最高人民法院关于审查知识产权纠纷行为保全案件适用法律若干问题的规定》第3条。</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bCs/>
        </w:rPr>
        <w:t>9</w:t>
      </w:r>
      <w:r>
        <w:rPr>
          <w:rFonts w:ascii="仿宋" w:hAnsi="仿宋" w:eastAsia="仿宋"/>
          <w:bCs/>
        </w:rPr>
        <w:t>5</w:t>
      </w:r>
      <w:r>
        <w:rPr>
          <w:rFonts w:hint="eastAsia" w:ascii="仿宋" w:hAnsi="仿宋" w:eastAsia="仿宋"/>
          <w:bCs/>
          <w:lang w:eastAsia="zh-Hans"/>
        </w:rPr>
        <w:t xml:space="preserve">.2 </w:t>
      </w:r>
      <w:r>
        <w:rPr>
          <w:rFonts w:hint="eastAsia" w:ascii="仿宋" w:hAnsi="仿宋" w:eastAsia="仿宋"/>
          <w:b/>
          <w:bCs/>
        </w:rPr>
        <w:t>【因行为保全错误提起损害赔偿的管辖法院】</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5</w:t>
      </w:r>
      <w:r>
        <w:rPr>
          <w:rFonts w:hint="eastAsia" w:ascii="仿宋" w:hAnsi="仿宋" w:eastAsia="仿宋"/>
          <w:lang w:eastAsia="zh-Hans"/>
        </w:rPr>
        <w:t xml:space="preserve">.2.1 </w:t>
      </w:r>
      <w:r>
        <w:rPr>
          <w:rFonts w:hint="eastAsia" w:ascii="仿宋" w:hAnsi="仿宋" w:eastAsia="仿宋"/>
        </w:rPr>
        <w:t>被申请人根据《民事诉讼法》第一百零五条规定提起赔偿诉讼，申请人申请诉前行为保全后没有起诉或者</w:t>
      </w:r>
      <w:r>
        <w:rPr>
          <w:rFonts w:hint="eastAsia" w:ascii="仿宋" w:hAnsi="仿宋" w:eastAsia="仿宋"/>
          <w:color w:val="000000" w:themeColor="text1"/>
          <w14:textFill>
            <w14:solidFill>
              <w14:schemeClr w14:val="tx1"/>
            </w14:solidFill>
          </w14:textFill>
        </w:rPr>
        <w:t>未按</w:t>
      </w:r>
      <w:r>
        <w:rPr>
          <w:rFonts w:hint="eastAsia" w:ascii="仿宋" w:hAnsi="仿宋" w:eastAsia="仿宋"/>
        </w:rPr>
        <w:t>当事人约定仲裁的，由采取保全措施的人民法院管辖；申请人已经起诉的，由受理起诉的人民法院管辖。</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bCs/>
        </w:rPr>
        <w:t>9</w:t>
      </w:r>
      <w:r>
        <w:rPr>
          <w:rFonts w:ascii="仿宋" w:hAnsi="仿宋" w:eastAsia="仿宋"/>
          <w:bCs/>
        </w:rPr>
        <w:t>5</w:t>
      </w:r>
      <w:r>
        <w:rPr>
          <w:rFonts w:hint="eastAsia" w:ascii="仿宋" w:hAnsi="仿宋" w:eastAsia="仿宋"/>
          <w:bCs/>
          <w:lang w:eastAsia="zh-Hans"/>
        </w:rPr>
        <w:t xml:space="preserve">.2.2 </w:t>
      </w:r>
      <w:r>
        <w:rPr>
          <w:rFonts w:hint="eastAsia" w:ascii="仿宋" w:hAnsi="仿宋" w:eastAsia="仿宋"/>
          <w:bCs/>
        </w:rPr>
        <w:t>对</w:t>
      </w:r>
      <w:r>
        <w:rPr>
          <w:rFonts w:hint="eastAsia" w:ascii="仿宋" w:hAnsi="仿宋" w:eastAsia="仿宋"/>
        </w:rPr>
        <w:t>申请人申请错误的认定采用客观归责原则，主要考虑错误后果，即出现</w:t>
      </w:r>
      <w:r>
        <w:rPr>
          <w:rFonts w:hint="eastAsia" w:ascii="仿宋" w:hAnsi="仿宋" w:eastAsia="仿宋"/>
          <w:color w:val="000000"/>
        </w:rPr>
        <w:t>《最高人民法院关于审查知识产权纠纷行为保全案件适用法律若干问题的规定》</w:t>
      </w:r>
      <w:r>
        <w:rPr>
          <w:rFonts w:hint="eastAsia" w:ascii="仿宋" w:hAnsi="仿宋" w:eastAsia="仿宋"/>
        </w:rPr>
        <w:t>第十六条规定的申请错误后果的，申请人应当赔偿因申请行为保全而给被申请人造成的损失，而不考虑其是否存在过错。</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《最高人民法院关于审查知识产权纠纷行为保全案件适用法律若干问题的规定》第十六条、第十八条。</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6</w:t>
      </w:r>
      <w:r>
        <w:rPr>
          <w:rFonts w:hint="eastAsia" w:ascii="仿宋" w:hAnsi="仿宋" w:eastAsia="仿宋"/>
          <w:b/>
          <w:bCs/>
        </w:rPr>
        <w:t xml:space="preserve">条 【申请材料】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申请行为保全的材料包括申请书和相应证据。</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6</w:t>
      </w:r>
      <w:r>
        <w:rPr>
          <w:rFonts w:hint="eastAsia" w:ascii="仿宋" w:hAnsi="仿宋" w:eastAsia="仿宋"/>
          <w:lang w:eastAsia="zh-Hans"/>
        </w:rPr>
        <w:t xml:space="preserve">.1 </w:t>
      </w:r>
      <w:r>
        <w:rPr>
          <w:rFonts w:hint="eastAsia" w:ascii="仿宋" w:hAnsi="仿宋" w:eastAsia="仿宋"/>
        </w:rPr>
        <w:t>申请书应当载明下列事项：</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申请人与被申请人的身份、送达地址、联系方式；</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申请采取行为保全措施的内容和期限；</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申请所依据的事实、理由，包括被申请人的行为将会使申请人的合法权益受到难以弥补的损害或者造成案件裁决难以执行等损害的具体说明；</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为行为保全提供担保的财产信息或资信证明，或者不需要提供担保的理由；</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（5） 其他需要载明的事项。</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6</w:t>
      </w:r>
      <w:r>
        <w:rPr>
          <w:rFonts w:hint="eastAsia" w:ascii="仿宋" w:hAnsi="仿宋" w:eastAsia="仿宋"/>
          <w:lang w:eastAsia="zh-Hans"/>
        </w:rPr>
        <w:t xml:space="preserve">.2 </w:t>
      </w:r>
      <w:r>
        <w:rPr>
          <w:rFonts w:hint="eastAsia" w:ascii="仿宋" w:hAnsi="仿宋" w:eastAsia="仿宋"/>
          <w:color w:val="000000" w:themeColor="text1"/>
          <w14:textFill>
            <w14:solidFill>
              <w14:schemeClr w14:val="tx1"/>
            </w14:solidFill>
          </w14:textFill>
        </w:rPr>
        <w:t>相应证据。</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7</w:t>
      </w:r>
      <w:r>
        <w:rPr>
          <w:rFonts w:hint="eastAsia" w:ascii="仿宋" w:hAnsi="仿宋" w:eastAsia="仿宋"/>
          <w:b/>
          <w:bCs/>
        </w:rPr>
        <w:t>条 【担 保】</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7</w:t>
      </w:r>
      <w:r>
        <w:rPr>
          <w:rFonts w:hint="eastAsia" w:ascii="仿宋" w:hAnsi="仿宋" w:eastAsia="仿宋"/>
          <w:lang w:eastAsia="zh-Hans"/>
        </w:rPr>
        <w:t xml:space="preserve">.1 </w:t>
      </w:r>
      <w:r>
        <w:rPr>
          <w:rFonts w:hint="eastAsia" w:ascii="仿宋" w:hAnsi="仿宋" w:eastAsia="仿宋"/>
        </w:rPr>
        <w:t>申请人申请行为保全的，应当依法提供担</w:t>
      </w:r>
      <w:r>
        <w:rPr>
          <w:rFonts w:hint="eastAsia" w:ascii="仿宋" w:hAnsi="仿宋" w:eastAsia="仿宋"/>
          <w:bCs/>
        </w:rPr>
        <w:t>保。</w:t>
      </w:r>
      <w:r>
        <w:rPr>
          <w:rFonts w:hint="eastAsia" w:ascii="仿宋" w:hAnsi="仿宋" w:eastAsia="仿宋"/>
        </w:rPr>
        <w:t>申请人提供的担保数额，应当相当于被申请人可能因执行行为保全措施所遭受的损失，包括责令停止侵权行为所涉产品的销售收益、保管费用等合理损失。在执行行为保全措施过程中，被申请人可能因此遭受的损失超过申请人担保数额的，人民法院可以责令申请人追加相应的担保。申请人拒不追加的，可以裁定解除或者部分解除保全措施。</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《最高人民法院关于审查知识产权纠纷行为保全案件适用法律若干问题的规定》第十一条</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7</w:t>
      </w:r>
      <w:r>
        <w:rPr>
          <w:rFonts w:hint="eastAsia" w:ascii="仿宋" w:hAnsi="仿宋" w:eastAsia="仿宋"/>
          <w:lang w:eastAsia="zh-Hans"/>
        </w:rPr>
        <w:t xml:space="preserve">.2 </w:t>
      </w:r>
      <w:r>
        <w:rPr>
          <w:rFonts w:hint="eastAsia" w:ascii="仿宋" w:hAnsi="仿宋" w:eastAsia="仿宋"/>
        </w:rPr>
        <w:t>被申请人不能通过提供担保的方式解除行为保全，但申请人同意的除外。知识产权纠纷特别是商业秘密纠纷，侵权行为一旦实施，即对权利人产生重大影响，因此，不宜因被申请人提供担保而解除保全措施。</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《最高人民法院关于审查知识产权纠纷行为保全案件适用法律若干问题的规定》第十二条。</w:t>
      </w:r>
    </w:p>
    <w:p>
      <w:pPr>
        <w:tabs>
          <w:tab w:val="left" w:pos="709"/>
          <w:tab w:val="left" w:pos="851"/>
          <w:tab w:val="left" w:pos="1134"/>
        </w:tabs>
        <w:spacing w:line="312" w:lineRule="auto"/>
        <w:ind w:firstLine="482" w:firstLineChars="200"/>
        <w:rPr>
          <w:rFonts w:ascii="仿宋" w:hAnsi="仿宋" w:eastAsia="仿宋"/>
          <w:b/>
          <w:bCs/>
        </w:rPr>
      </w:pPr>
      <w:r>
        <w:rPr>
          <w:rFonts w:hint="eastAsia" w:ascii="仿宋" w:hAnsi="仿宋" w:eastAsia="仿宋"/>
          <w:b/>
          <w:bCs/>
        </w:rPr>
        <w:t>第9</w:t>
      </w:r>
      <w:r>
        <w:rPr>
          <w:rFonts w:ascii="仿宋" w:hAnsi="仿宋" w:eastAsia="仿宋"/>
          <w:b/>
          <w:bCs/>
        </w:rPr>
        <w:t>8</w:t>
      </w:r>
      <w:r>
        <w:rPr>
          <w:rFonts w:hint="eastAsia" w:ascii="仿宋" w:hAnsi="仿宋" w:eastAsia="仿宋"/>
          <w:b/>
          <w:bCs/>
        </w:rPr>
        <w:t xml:space="preserve">条 【法院在审查行为保全申请时考量的因素】 </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 xml:space="preserve">8.1 </w:t>
      </w:r>
      <w:r>
        <w:rPr>
          <w:rFonts w:hint="eastAsia" w:ascii="仿宋" w:hAnsi="仿宋" w:eastAsia="仿宋"/>
        </w:rPr>
        <w:t>法院在裁定是否采取行为保全措施时，主要考虑下述因素：</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申请人的请求是否具有事实基础和法律依据，包括请求保护的知识产权效力是否稳定；</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不采取行为保全措施是否会使申请人的合法权益受到难以弥补的损害或者造成案件裁决难以执行等损害；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不采取行为保全措施对申请人造成的损害是否超过采取行为保全措施对被申请人造成的损害；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采取行为保全措施是否损害社会公共利益；对于公共利益的考量，主要在于社会公众的利益</w:t>
      </w:r>
      <w:r>
        <w:rPr>
          <w:rFonts w:hint="eastAsia" w:ascii="仿宋" w:hAnsi="仿宋" w:eastAsia="仿宋"/>
          <w:color w:val="000000" w:themeColor="text1"/>
          <w14:textFill>
            <w14:solidFill>
              <w14:schemeClr w14:val="tx1"/>
            </w14:solidFill>
          </w14:textFill>
        </w:rPr>
        <w:t>保护及消费者利益的兼顾，如采取诉前禁令，将会导致公共利益受损，或危及社会秩序，</w:t>
      </w:r>
      <w:r>
        <w:rPr>
          <w:rFonts w:hint="eastAsia" w:ascii="仿宋" w:hAnsi="仿宋" w:eastAsia="仿宋"/>
        </w:rPr>
        <w:t>则法院不会作出诉前禁令。</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（5） 其他应当考量的因素：存在胜诉较大可能性是诉前禁令的前提。</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《最高人民法院关于审查知识产权纠纷行为保全案件适用法律若干问题的规定》第七条</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 xml:space="preserve">8.2 </w:t>
      </w:r>
      <w:r>
        <w:rPr>
          <w:rFonts w:hint="eastAsia" w:ascii="仿宋" w:hAnsi="仿宋" w:eastAsia="仿宋"/>
        </w:rPr>
        <w:t>不立即采取行为保全措施即足以损害申请人利益的的紧急情况包括下述情形：</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申请人的商业秘密即将被非法披露；</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申请人的发表权、隐私权等人身权利即将受到侵害；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诉争的知识产权即将被非法处分；</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申请人的知识产权在展销会等时效性较强的场合正在或者即将受到侵害；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（5） 时效性较强的热播节目正在或者即将受到侵害；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（6） 其他需要立即采取行为保全措施的情况。</w:t>
      </w:r>
    </w:p>
    <w:p>
      <w:pPr>
        <w:tabs>
          <w:tab w:val="left" w:pos="709"/>
          <w:tab w:val="left" w:pos="851"/>
          <w:tab w:val="left" w:pos="1134"/>
        </w:tabs>
        <w:spacing w:line="312" w:lineRule="auto"/>
        <w:ind w:firstLine="482" w:firstLineChars="200"/>
        <w:rPr>
          <w:rFonts w:ascii="仿宋" w:hAnsi="仿宋" w:eastAsia="仿宋"/>
          <w:color w:val="000000"/>
        </w:rPr>
      </w:pPr>
      <w:bookmarkStart w:id="47" w:name="_Hlk98362692"/>
      <w:r>
        <w:rPr>
          <w:rFonts w:hint="eastAsia" w:ascii="仿宋" w:hAnsi="仿宋" w:eastAsia="仿宋"/>
          <w:b/>
          <w:bCs/>
          <w:color w:val="000000"/>
        </w:rPr>
        <w:t>【法律规定】</w:t>
      </w:r>
      <w:bookmarkEnd w:id="47"/>
      <w:r>
        <w:rPr>
          <w:rFonts w:hint="eastAsia" w:ascii="仿宋" w:hAnsi="仿宋" w:eastAsia="仿宋"/>
          <w:color w:val="000000"/>
        </w:rPr>
        <w:t>《最高人民法院关于审查知识产权纠纷行为保全案件适用法律若干问题的规定》第六条</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【典型案例】</w:t>
      </w:r>
      <w:r>
        <w:rPr>
          <w:rFonts w:hint="eastAsia" w:ascii="仿宋" w:hAnsi="仿宋" w:eastAsia="仿宋"/>
          <w:color w:val="000000"/>
        </w:rPr>
        <w:t>最高人民法院公布八起知识产权司法保护典型案例之一：申请人美国礼来公司、礼来（中国）研发有限公司与被申请人黄孟炜行为保全申请案</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9</w:t>
      </w:r>
      <w:r>
        <w:rPr>
          <w:rFonts w:ascii="仿宋" w:hAnsi="仿宋" w:eastAsia="仿宋"/>
        </w:rPr>
        <w:t xml:space="preserve">8.3 </w:t>
      </w:r>
      <w:r>
        <w:rPr>
          <w:rFonts w:hint="eastAsia" w:ascii="仿宋" w:hAnsi="仿宋" w:eastAsia="仿宋"/>
        </w:rPr>
        <w:t>上述几种紧迫性最终表现为不采取措施将会导致申请人受到难以弥补的损害。而判断是否造成难以弥补的损害，一般情况下考虑以下几点：</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（1） 被申请人的行为将会侵害申请人享的商誉或者发表权、隐私权等人身性质的权利且造成无法挽回的损害；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（2） 被申请人的行为将会导致侵权行为难以控制且显著增加申请人损害；</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（3） 被申请人的侵害行为将会导致申请人的相关市场份额明显减少；</w:t>
      </w:r>
    </w:p>
    <w:p>
      <w:pPr>
        <w:tabs>
          <w:tab w:val="left" w:pos="709"/>
          <w:tab w:val="left" w:pos="851"/>
          <w:tab w:val="left" w:pos="1134"/>
        </w:tabs>
        <w:spacing w:line="312" w:lineRule="auto"/>
        <w:ind w:firstLine="480" w:firstLineChars="200"/>
        <w:rPr>
          <w:rFonts w:ascii="仿宋" w:hAnsi="仿宋" w:eastAsia="仿宋"/>
        </w:rPr>
      </w:pPr>
      <w:r>
        <w:rPr>
          <w:rFonts w:hint="eastAsia" w:ascii="仿宋" w:hAnsi="仿宋" w:eastAsia="仿宋"/>
        </w:rPr>
        <w:t>（4） 对申请人造成其他难以弥补的损害。</w:t>
      </w:r>
    </w:p>
    <w:p>
      <w:pPr>
        <w:tabs>
          <w:tab w:val="left" w:pos="709"/>
          <w:tab w:val="left" w:pos="851"/>
          <w:tab w:val="left" w:pos="1134"/>
        </w:tabs>
        <w:spacing w:line="312" w:lineRule="auto"/>
        <w:ind w:firstLine="482" w:firstLineChars="200"/>
        <w:rPr>
          <w:rFonts w:ascii="仿宋" w:hAnsi="仿宋" w:eastAsia="仿宋"/>
          <w:color w:val="000000"/>
        </w:rPr>
      </w:pPr>
      <w:r>
        <w:rPr>
          <w:rFonts w:hint="eastAsia" w:ascii="仿宋" w:hAnsi="仿宋" w:eastAsia="仿宋"/>
          <w:b/>
          <w:bCs/>
          <w:color w:val="000000"/>
        </w:rPr>
        <w:t>【法律规定】</w:t>
      </w:r>
      <w:r>
        <w:rPr>
          <w:rFonts w:hint="eastAsia" w:ascii="仿宋" w:hAnsi="仿宋" w:eastAsia="仿宋"/>
          <w:color w:val="000000"/>
        </w:rPr>
        <w:t>《最高人民法院关于审查知识产权纠纷行为保全案件适用法律若干问题的规定》第十条</w:t>
      </w:r>
    </w:p>
    <w:p>
      <w:pPr>
        <w:tabs>
          <w:tab w:val="left" w:pos="709"/>
          <w:tab w:val="left" w:pos="851"/>
          <w:tab w:val="left" w:pos="1134"/>
        </w:tabs>
        <w:spacing w:line="312" w:lineRule="auto"/>
        <w:ind w:firstLine="482" w:firstLineChars="200"/>
        <w:rPr>
          <w:rFonts w:ascii="仿宋" w:hAnsi="仿宋" w:eastAsia="仿宋"/>
          <w:bCs/>
          <w:color w:val="000000"/>
        </w:rPr>
      </w:pPr>
      <w:r>
        <w:rPr>
          <w:rFonts w:hint="eastAsia" w:ascii="仿宋" w:hAnsi="仿宋" w:eastAsia="仿宋"/>
          <w:b/>
          <w:bCs/>
          <w:color w:val="000000"/>
        </w:rPr>
        <w:t>【参考案例】（</w:t>
      </w:r>
      <w:r>
        <w:rPr>
          <w:rFonts w:hint="eastAsia" w:ascii="仿宋" w:hAnsi="仿宋" w:eastAsia="仿宋"/>
          <w:bCs/>
          <w:color w:val="000000"/>
        </w:rPr>
        <w:t>2013）沪一中民五（知）初字第119号--认定商业秘密处于随时可能被外泄的危险境地。</w:t>
      </w: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tabs>
          <w:tab w:val="left" w:pos="709"/>
          <w:tab w:val="left" w:pos="851"/>
          <w:tab w:val="left" w:pos="1134"/>
        </w:tabs>
        <w:spacing w:line="312" w:lineRule="auto"/>
        <w:rPr>
          <w:rFonts w:hint="eastAsia" w:ascii="仿宋" w:hAnsi="仿宋" w:eastAsia="仿宋"/>
          <w:bCs/>
          <w:color w:val="000000"/>
        </w:rPr>
      </w:pPr>
    </w:p>
    <w:p>
      <w:pPr>
        <w:pStyle w:val="2"/>
        <w:rPr>
          <w:rFonts w:hint="eastAsia"/>
          <w:sz w:val="28"/>
          <w:szCs w:val="28"/>
        </w:rPr>
      </w:pPr>
      <w:bookmarkStart w:id="48" w:name="_Toc122294640"/>
      <w:r>
        <w:rPr>
          <w:rFonts w:hint="eastAsia"/>
          <w:sz w:val="28"/>
          <w:szCs w:val="28"/>
        </w:rPr>
        <w:t>第六章  附则</w:t>
      </w:r>
      <w:bookmarkEnd w:id="48"/>
    </w:p>
    <w:p>
      <w:pPr>
        <w:rPr>
          <w:rFonts w:ascii="仿宋" w:hAnsi="仿宋" w:eastAsia="仿宋"/>
        </w:rPr>
      </w:pPr>
      <w:r>
        <w:rPr>
          <w:rFonts w:hint="eastAsia" w:ascii="仿宋" w:hAnsi="仿宋" w:eastAsia="仿宋"/>
        </w:rPr>
        <w:t xml:space="preserve">    </w:t>
      </w:r>
      <w:r>
        <w:rPr>
          <w:rFonts w:ascii="仿宋" w:hAnsi="仿宋" w:eastAsia="仿宋"/>
        </w:rPr>
        <w:t>第99条  本指引由浙江省律师协会业务指导委员会负责解释、修订和补充。</w:t>
      </w:r>
    </w:p>
    <w:p>
      <w:pPr>
        <w:ind w:firstLine="480"/>
        <w:rPr>
          <w:rFonts w:hint="eastAsia" w:ascii="仿宋" w:hAnsi="仿宋" w:eastAsia="仿宋"/>
        </w:rPr>
      </w:pPr>
      <w:r>
        <w:rPr>
          <w:rFonts w:ascii="仿宋" w:hAnsi="仿宋" w:eastAsia="仿宋"/>
        </w:rPr>
        <w:t>第100条 本指引经浙江省律师协会业务指导委员会于   年  月  日审议通过，自   年  月  日起实施。</w:t>
      </w: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rPr>
          <w:rFonts w:hint="eastAsia" w:ascii="仿宋" w:hAnsi="仿宋" w:eastAsia="仿宋"/>
        </w:rPr>
      </w:pPr>
    </w:p>
    <w:p>
      <w:pPr>
        <w:pStyle w:val="2"/>
        <w:rPr>
          <w:sz w:val="28"/>
          <w:szCs w:val="28"/>
        </w:rPr>
      </w:pPr>
      <w:bookmarkStart w:id="49" w:name="_Toc122294641"/>
      <w:r>
        <w:rPr>
          <w:rFonts w:hint="eastAsia"/>
          <w:sz w:val="28"/>
          <w:szCs w:val="28"/>
        </w:rPr>
        <w:t>附</w:t>
      </w:r>
      <w:r>
        <w:rPr>
          <w:sz w:val="28"/>
          <w:szCs w:val="28"/>
        </w:rPr>
        <w:t xml:space="preserve">  </w:t>
      </w:r>
      <w:r>
        <w:rPr>
          <w:rFonts w:hint="eastAsia"/>
          <w:sz w:val="28"/>
          <w:szCs w:val="28"/>
        </w:rPr>
        <w:t>录</w:t>
      </w:r>
      <w:bookmarkEnd w:id="49"/>
    </w:p>
    <w:p>
      <w:pPr>
        <w:spacing w:line="312" w:lineRule="auto"/>
        <w:ind w:firstLine="480" w:firstLineChars="200"/>
        <w:rPr>
          <w:rFonts w:ascii="仿宋" w:hAnsi="仿宋" w:eastAsia="仿宋"/>
          <w:color w:val="000000" w:themeColor="text1"/>
          <w14:textFill>
            <w14:solidFill>
              <w14:schemeClr w14:val="tx1"/>
            </w14:solidFill>
          </w14:textFill>
        </w:rPr>
      </w:pPr>
    </w:p>
    <w:p>
      <w:pPr>
        <w:spacing w:line="312" w:lineRule="auto"/>
        <w:ind w:firstLine="480" w:firstLineChars="200"/>
        <w:rPr>
          <w:rFonts w:ascii="仿宋" w:hAnsi="仿宋" w:eastAsia="仿宋"/>
          <w:color w:val="000000" w:themeColor="text1"/>
          <w14:textFill>
            <w14:solidFill>
              <w14:schemeClr w14:val="tx1"/>
            </w14:solidFill>
          </w14:textFill>
        </w:rPr>
      </w:pPr>
    </w:p>
    <w:p>
      <w:pPr>
        <w:spacing w:line="312" w:lineRule="auto"/>
        <w:ind w:firstLine="480" w:firstLineChars="20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截至2022年</w:t>
      </w:r>
      <w:r>
        <w:rPr>
          <w:rFonts w:ascii="仿宋" w:hAnsi="仿宋" w:eastAsia="仿宋"/>
          <w:color w:val="000000" w:themeColor="text1"/>
          <w14:textFill>
            <w14:solidFill>
              <w14:schemeClr w14:val="tx1"/>
            </w14:solidFill>
          </w14:textFill>
        </w:rPr>
        <w:t>3</w:t>
      </w:r>
      <w:r>
        <w:rPr>
          <w:rFonts w:hint="eastAsia" w:ascii="仿宋" w:hAnsi="仿宋" w:eastAsia="仿宋"/>
          <w:color w:val="000000" w:themeColor="text1"/>
          <w14:textFill>
            <w14:solidFill>
              <w14:schemeClr w14:val="tx1"/>
            </w14:solidFill>
          </w14:textFill>
        </w:rPr>
        <w:t>月</w:t>
      </w:r>
      <w:r>
        <w:rPr>
          <w:rFonts w:ascii="仿宋" w:hAnsi="仿宋" w:eastAsia="仿宋"/>
          <w:color w:val="000000" w:themeColor="text1"/>
          <w14:textFill>
            <w14:solidFill>
              <w14:schemeClr w14:val="tx1"/>
            </w14:solidFill>
          </w14:textFill>
        </w:rPr>
        <w:t>31</w:t>
      </w:r>
      <w:r>
        <w:rPr>
          <w:rFonts w:hint="eastAsia" w:ascii="仿宋" w:hAnsi="仿宋" w:eastAsia="仿宋"/>
          <w:color w:val="000000" w:themeColor="text1"/>
          <w14:textFill>
            <w14:solidFill>
              <w14:schemeClr w14:val="tx1"/>
            </w14:solidFill>
          </w14:textFill>
        </w:rPr>
        <w:t>日，本附录收录的与商业秘密相关的法律法规、司法解释、规章及规范性文件，主要包括：</w:t>
      </w:r>
    </w:p>
    <w:p>
      <w:pPr>
        <w:spacing w:before="120" w:beforeLines="50" w:line="312" w:lineRule="auto"/>
        <w:rPr>
          <w:rFonts w:ascii="仿宋" w:hAnsi="仿宋" w:eastAsia="仿宋"/>
          <w:b/>
        </w:rPr>
      </w:pPr>
      <w:r>
        <w:rPr>
          <w:rFonts w:hint="eastAsia" w:ascii="仿宋" w:hAnsi="仿宋" w:eastAsia="仿宋"/>
          <w:b/>
        </w:rPr>
        <w:t>一、法律</w:t>
      </w:r>
    </w:p>
    <w:p>
      <w:pPr>
        <w:tabs>
          <w:tab w:val="left" w:pos="2923"/>
        </w:tabs>
        <w:spacing w:line="312" w:lineRule="auto"/>
        <w:rPr>
          <w:rFonts w:ascii="仿宋" w:hAnsi="仿宋" w:eastAsia="仿宋"/>
        </w:rPr>
      </w:pPr>
      <w:r>
        <w:rPr>
          <w:rFonts w:hint="eastAsia" w:ascii="仿宋" w:hAnsi="仿宋" w:eastAsia="仿宋"/>
        </w:rPr>
        <w:t>1.《中华人民共和国民法典</w:t>
      </w:r>
      <w:r>
        <w:rPr>
          <w:rFonts w:ascii="仿宋" w:hAnsi="仿宋" w:eastAsia="仿宋"/>
        </w:rPr>
        <w:t>》</w:t>
      </w:r>
      <w:r>
        <w:rPr>
          <w:rFonts w:hint="eastAsia" w:ascii="仿宋" w:hAnsi="仿宋" w:eastAsia="仿宋"/>
        </w:rPr>
        <w:t>，2020年5月28日通过。</w:t>
      </w:r>
    </w:p>
    <w:p>
      <w:pPr>
        <w:spacing w:line="312" w:lineRule="auto"/>
        <w:rPr>
          <w:rFonts w:ascii="仿宋" w:hAnsi="仿宋" w:eastAsia="仿宋"/>
        </w:rPr>
      </w:pPr>
      <w:r>
        <w:rPr>
          <w:rFonts w:hint="eastAsia" w:ascii="仿宋" w:hAnsi="仿宋" w:eastAsia="仿宋"/>
        </w:rPr>
        <w:t>2.《中华人民共和国反不正当竞争法》，</w:t>
      </w:r>
      <w:r>
        <w:rPr>
          <w:rFonts w:ascii="仿宋" w:hAnsi="仿宋" w:eastAsia="仿宋"/>
        </w:rPr>
        <w:t>1993年9月2日通</w:t>
      </w:r>
      <w:r>
        <w:rPr>
          <w:rFonts w:hint="eastAsia" w:ascii="仿宋" w:hAnsi="仿宋" w:eastAsia="仿宋"/>
        </w:rPr>
        <w:t>过</w:t>
      </w:r>
      <w:r>
        <w:rPr>
          <w:rFonts w:ascii="仿宋" w:hAnsi="仿宋" w:eastAsia="仿宋"/>
        </w:rPr>
        <w:t>，2017年11月4日</w:t>
      </w:r>
      <w:r>
        <w:rPr>
          <w:rFonts w:hint="eastAsia" w:ascii="仿宋" w:hAnsi="仿宋" w:eastAsia="仿宋"/>
        </w:rPr>
        <w:t>修订，</w:t>
      </w:r>
      <w:r>
        <w:rPr>
          <w:rFonts w:ascii="仿宋" w:hAnsi="仿宋" w:eastAsia="仿宋"/>
        </w:rPr>
        <w:t>2019年4月23日</w:t>
      </w:r>
      <w:r>
        <w:rPr>
          <w:rFonts w:hint="eastAsia" w:ascii="仿宋" w:hAnsi="仿宋" w:eastAsia="仿宋"/>
        </w:rPr>
        <w:t>修正。</w:t>
      </w:r>
    </w:p>
    <w:p>
      <w:pPr>
        <w:spacing w:line="312" w:lineRule="auto"/>
        <w:rPr>
          <w:rFonts w:ascii="仿宋" w:hAnsi="仿宋" w:eastAsia="仿宋"/>
        </w:rPr>
      </w:pPr>
      <w:r>
        <w:rPr>
          <w:rFonts w:hint="eastAsia" w:ascii="仿宋" w:hAnsi="仿宋" w:eastAsia="仿宋"/>
        </w:rPr>
        <w:t>3.《中华人民共和国劳动法》，</w:t>
      </w:r>
      <w:r>
        <w:rPr>
          <w:rFonts w:ascii="仿宋" w:hAnsi="仿宋" w:eastAsia="仿宋"/>
        </w:rPr>
        <w:t>1994年7月5日通</w:t>
      </w:r>
      <w:r>
        <w:rPr>
          <w:rFonts w:hint="eastAsia" w:ascii="仿宋" w:hAnsi="仿宋" w:eastAsia="仿宋"/>
        </w:rPr>
        <w:t>过，</w:t>
      </w:r>
      <w:r>
        <w:rPr>
          <w:rFonts w:ascii="仿宋" w:hAnsi="仿宋" w:eastAsia="仿宋"/>
        </w:rPr>
        <w:t>2018年12月29日第二次修正</w:t>
      </w:r>
      <w:r>
        <w:rPr>
          <w:rFonts w:hint="eastAsia" w:ascii="仿宋" w:hAnsi="仿宋" w:eastAsia="仿宋"/>
        </w:rPr>
        <w:t>。</w:t>
      </w:r>
    </w:p>
    <w:p>
      <w:pPr>
        <w:spacing w:line="312" w:lineRule="auto"/>
        <w:rPr>
          <w:rFonts w:ascii="仿宋" w:hAnsi="仿宋" w:eastAsia="仿宋"/>
        </w:rPr>
      </w:pPr>
      <w:r>
        <w:rPr>
          <w:rFonts w:hint="eastAsia" w:ascii="仿宋" w:hAnsi="仿宋" w:eastAsia="仿宋"/>
        </w:rPr>
        <w:t>4.《中华人民共和国劳动合同法》，</w:t>
      </w:r>
      <w:r>
        <w:rPr>
          <w:rFonts w:ascii="仿宋" w:hAnsi="仿宋" w:eastAsia="仿宋"/>
        </w:rPr>
        <w:t>2007年6月29日通过，2018年10月26日第四次修正</w:t>
      </w:r>
      <w:r>
        <w:rPr>
          <w:rFonts w:hint="eastAsia" w:ascii="仿宋" w:hAnsi="仿宋" w:eastAsia="仿宋"/>
        </w:rPr>
        <w:t>。</w:t>
      </w:r>
    </w:p>
    <w:p>
      <w:pPr>
        <w:spacing w:line="312" w:lineRule="auto"/>
        <w:rPr>
          <w:rFonts w:ascii="仿宋" w:hAnsi="仿宋" w:eastAsia="仿宋"/>
        </w:rPr>
      </w:pPr>
      <w:r>
        <w:rPr>
          <w:rFonts w:hint="eastAsia" w:ascii="仿宋" w:hAnsi="仿宋" w:eastAsia="仿宋"/>
        </w:rPr>
        <w:t>5.《中华人民共和国公司法》，</w:t>
      </w:r>
      <w:r>
        <w:rPr>
          <w:rFonts w:ascii="仿宋" w:hAnsi="仿宋" w:eastAsia="仿宋"/>
        </w:rPr>
        <w:t>1993年12月29日</w:t>
      </w:r>
      <w:r>
        <w:rPr>
          <w:rFonts w:hint="eastAsia" w:ascii="仿宋" w:hAnsi="仿宋" w:eastAsia="仿宋"/>
        </w:rPr>
        <w:t>通过，</w:t>
      </w:r>
      <w:r>
        <w:rPr>
          <w:rFonts w:ascii="仿宋" w:hAnsi="仿宋" w:eastAsia="仿宋"/>
        </w:rPr>
        <w:t>2005年10月27日</w:t>
      </w:r>
      <w:r>
        <w:rPr>
          <w:rFonts w:hint="eastAsia" w:ascii="仿宋" w:hAnsi="仿宋" w:eastAsia="仿宋"/>
        </w:rPr>
        <w:t>修订，</w:t>
      </w:r>
      <w:r>
        <w:rPr>
          <w:rFonts w:ascii="仿宋" w:hAnsi="仿宋" w:eastAsia="仿宋"/>
        </w:rPr>
        <w:t>2018年10月26日</w:t>
      </w:r>
      <w:r>
        <w:rPr>
          <w:rFonts w:hint="eastAsia" w:ascii="仿宋" w:hAnsi="仿宋" w:eastAsia="仿宋"/>
        </w:rPr>
        <w:t>第四次修正。</w:t>
      </w:r>
    </w:p>
    <w:p>
      <w:pPr>
        <w:spacing w:line="312" w:lineRule="auto"/>
        <w:rPr>
          <w:rFonts w:ascii="仿宋" w:hAnsi="仿宋" w:eastAsia="仿宋"/>
        </w:rPr>
      </w:pPr>
      <w:r>
        <w:rPr>
          <w:rFonts w:hint="eastAsia" w:ascii="仿宋" w:hAnsi="仿宋" w:eastAsia="仿宋"/>
        </w:rPr>
        <w:t>6.《中华人民共和国民事诉讼法》，</w:t>
      </w:r>
      <w:r>
        <w:rPr>
          <w:rFonts w:ascii="仿宋" w:hAnsi="仿宋" w:eastAsia="仿宋"/>
        </w:rPr>
        <w:t>1991年4月9日通过</w:t>
      </w:r>
      <w:r>
        <w:rPr>
          <w:rFonts w:hint="eastAsia" w:ascii="仿宋" w:hAnsi="仿宋" w:eastAsia="仿宋"/>
        </w:rPr>
        <w:t>，</w:t>
      </w:r>
      <w:r>
        <w:rPr>
          <w:rFonts w:ascii="仿宋" w:hAnsi="仿宋" w:eastAsia="仿宋"/>
        </w:rPr>
        <w:t>2021年12月24日</w:t>
      </w:r>
      <w:r>
        <w:rPr>
          <w:rFonts w:hint="eastAsia" w:ascii="仿宋" w:hAnsi="仿宋" w:eastAsia="仿宋"/>
        </w:rPr>
        <w:t>第四次修正。</w:t>
      </w:r>
    </w:p>
    <w:p>
      <w:pPr>
        <w:spacing w:line="312" w:lineRule="auto"/>
        <w:rPr>
          <w:rFonts w:ascii="仿宋" w:hAnsi="仿宋" w:eastAsia="仿宋"/>
        </w:rPr>
      </w:pPr>
      <w:r>
        <w:rPr>
          <w:rFonts w:hint="eastAsia" w:ascii="仿宋" w:hAnsi="仿宋" w:eastAsia="仿宋"/>
        </w:rPr>
        <w:t>7.《中华人民共和国刑法》，</w:t>
      </w:r>
      <w:r>
        <w:rPr>
          <w:rFonts w:ascii="仿宋" w:hAnsi="仿宋" w:eastAsia="仿宋"/>
        </w:rPr>
        <w:t>1979年7月1日通</w:t>
      </w:r>
      <w:r>
        <w:rPr>
          <w:rFonts w:hint="eastAsia" w:ascii="仿宋" w:hAnsi="仿宋" w:eastAsia="仿宋"/>
        </w:rPr>
        <w:t>过，</w:t>
      </w:r>
      <w:r>
        <w:rPr>
          <w:rFonts w:ascii="仿宋" w:hAnsi="仿宋" w:eastAsia="仿宋"/>
        </w:rPr>
        <w:t>1997年3月14日修订</w:t>
      </w:r>
      <w:r>
        <w:rPr>
          <w:rFonts w:hint="eastAsia" w:ascii="仿宋" w:hAnsi="仿宋" w:eastAsia="仿宋"/>
        </w:rPr>
        <w:t>，</w:t>
      </w:r>
      <w:r>
        <w:rPr>
          <w:rFonts w:ascii="仿宋" w:hAnsi="仿宋" w:eastAsia="仿宋"/>
        </w:rPr>
        <w:t>2020年12月26日通过的《中华人民共和国刑法修正案（十一）》修正）</w:t>
      </w:r>
      <w:r>
        <w:rPr>
          <w:rFonts w:hint="eastAsia" w:ascii="仿宋" w:hAnsi="仿宋" w:eastAsia="仿宋"/>
        </w:rPr>
        <w:t>。</w:t>
      </w:r>
    </w:p>
    <w:p>
      <w:pPr>
        <w:spacing w:line="312" w:lineRule="auto"/>
        <w:rPr>
          <w:rFonts w:ascii="仿宋" w:hAnsi="仿宋" w:eastAsia="仿宋"/>
          <w:b/>
        </w:rPr>
      </w:pPr>
      <w:r>
        <w:rPr>
          <w:rFonts w:hint="eastAsia" w:ascii="仿宋" w:hAnsi="仿宋" w:eastAsia="仿宋"/>
          <w:b/>
        </w:rPr>
        <w:t>二、国家政策文件</w:t>
      </w:r>
    </w:p>
    <w:p>
      <w:pPr>
        <w:spacing w:line="312" w:lineRule="auto"/>
        <w:rPr>
          <w:rFonts w:ascii="仿宋" w:hAnsi="仿宋" w:eastAsia="仿宋"/>
        </w:rPr>
      </w:pPr>
      <w:r>
        <w:rPr>
          <w:rFonts w:hint="eastAsia" w:ascii="仿宋" w:hAnsi="仿宋" w:eastAsia="仿宋"/>
        </w:rPr>
        <w:t>1.《国家知识产权战略纲要》（国发〔2008〕18号）</w:t>
      </w:r>
    </w:p>
    <w:p>
      <w:pPr>
        <w:spacing w:line="312" w:lineRule="auto"/>
        <w:rPr>
          <w:rFonts w:ascii="仿宋" w:hAnsi="仿宋" w:eastAsia="仿宋"/>
        </w:rPr>
      </w:pPr>
      <w:r>
        <w:rPr>
          <w:rFonts w:hint="eastAsia" w:ascii="仿宋" w:hAnsi="仿宋" w:eastAsia="仿宋"/>
        </w:rPr>
        <w:t>2.</w:t>
      </w:r>
      <w:r>
        <w:t xml:space="preserve"> </w:t>
      </w:r>
      <w:r>
        <w:rPr>
          <w:rFonts w:ascii="仿宋" w:hAnsi="仿宋" w:eastAsia="仿宋"/>
        </w:rPr>
        <w:t>中共中央 国务院印发《知识产权强国建设纲要（2021－2035年）》</w:t>
      </w:r>
    </w:p>
    <w:p>
      <w:pPr>
        <w:spacing w:before="120" w:beforeLines="50" w:line="312" w:lineRule="auto"/>
        <w:rPr>
          <w:rFonts w:ascii="仿宋" w:hAnsi="仿宋" w:eastAsia="仿宋"/>
          <w:b/>
        </w:rPr>
      </w:pPr>
      <w:r>
        <w:rPr>
          <w:rFonts w:hint="eastAsia" w:ascii="仿宋" w:hAnsi="仿宋" w:eastAsia="仿宋"/>
          <w:b/>
        </w:rPr>
        <w:t>三、司法解释及司法政策文件</w:t>
      </w:r>
    </w:p>
    <w:p>
      <w:pPr>
        <w:spacing w:line="312" w:lineRule="auto"/>
        <w:rPr>
          <w:rFonts w:ascii="仿宋" w:hAnsi="仿宋" w:eastAsia="仿宋"/>
        </w:rPr>
      </w:pPr>
      <w:r>
        <w:rPr>
          <w:rFonts w:hint="eastAsia" w:ascii="仿宋" w:hAnsi="仿宋" w:eastAsia="仿宋"/>
        </w:rPr>
        <w:t>1.《</w:t>
      </w:r>
      <w:r>
        <w:rPr>
          <w:rFonts w:hint="eastAsia" w:ascii="仿宋" w:hAnsi="仿宋" w:eastAsia="仿宋"/>
          <w:bCs/>
        </w:rPr>
        <w:t>最高人民法院关于审理侵犯商业秘密民事案件适用法律若干问题的规定》</w:t>
      </w:r>
    </w:p>
    <w:p>
      <w:pPr>
        <w:spacing w:line="312" w:lineRule="auto"/>
        <w:rPr>
          <w:rFonts w:ascii="仿宋" w:hAnsi="仿宋" w:eastAsia="仿宋"/>
          <w:bCs/>
        </w:rPr>
      </w:pPr>
      <w:r>
        <w:rPr>
          <w:rFonts w:hint="eastAsia" w:ascii="仿宋" w:hAnsi="仿宋" w:eastAsia="仿宋"/>
          <w:bCs/>
        </w:rPr>
        <w:t>2.《最高人民法院关于审理技术合同纠纷案件适用法律若干问题的解释》</w:t>
      </w:r>
    </w:p>
    <w:p>
      <w:pPr>
        <w:spacing w:line="312" w:lineRule="auto"/>
        <w:rPr>
          <w:rFonts w:ascii="仿宋" w:hAnsi="仿宋" w:eastAsia="仿宋"/>
        </w:rPr>
      </w:pPr>
      <w:r>
        <w:rPr>
          <w:rFonts w:hint="eastAsia" w:ascii="仿宋" w:hAnsi="仿宋" w:eastAsia="仿宋"/>
        </w:rPr>
        <w:t>3.《最高人民法院关于进一步加强知识产权司法保护工作的通知》（法〔2004〕200号）</w:t>
      </w:r>
    </w:p>
    <w:p>
      <w:pPr>
        <w:spacing w:line="312" w:lineRule="auto"/>
        <w:rPr>
          <w:rFonts w:ascii="仿宋" w:hAnsi="仿宋" w:eastAsia="仿宋"/>
        </w:rPr>
      </w:pPr>
      <w:r>
        <w:rPr>
          <w:rFonts w:hint="eastAsia" w:ascii="仿宋" w:hAnsi="仿宋" w:eastAsia="仿宋"/>
        </w:rPr>
        <w:t>4.《最高人民法院关于全面加强知识产权审判工作为建设创新型国家提供司法保障的意见》（ 2007 年 1 月 11 日）</w:t>
      </w:r>
    </w:p>
    <w:p>
      <w:pPr>
        <w:spacing w:line="312" w:lineRule="auto"/>
        <w:rPr>
          <w:rFonts w:ascii="仿宋" w:hAnsi="仿宋" w:eastAsia="仿宋"/>
        </w:rPr>
      </w:pPr>
      <w:r>
        <w:rPr>
          <w:rFonts w:hint="eastAsia" w:ascii="仿宋" w:hAnsi="仿宋" w:eastAsia="仿宋"/>
        </w:rPr>
        <w:t>5.《最高人民法院关于贯彻实施国家知识产权战略若干问题的意见》（法发〔2009〕16号）</w:t>
      </w:r>
    </w:p>
    <w:p>
      <w:pPr>
        <w:spacing w:line="312" w:lineRule="auto"/>
        <w:rPr>
          <w:rFonts w:ascii="仿宋" w:hAnsi="仿宋" w:eastAsia="仿宋"/>
        </w:rPr>
      </w:pPr>
      <w:r>
        <w:rPr>
          <w:rFonts w:hint="eastAsia" w:ascii="仿宋" w:hAnsi="仿宋" w:eastAsia="仿宋"/>
        </w:rPr>
        <w:t>6.《最高人民法院关于当前经济形势下知识产权审判服务大局若干问题的意见》（ 法发〔2009〕23号）</w:t>
      </w:r>
    </w:p>
    <w:p>
      <w:pPr>
        <w:spacing w:line="312" w:lineRule="auto"/>
        <w:rPr>
          <w:rFonts w:ascii="仿宋" w:hAnsi="仿宋" w:eastAsia="仿宋"/>
        </w:rPr>
      </w:pPr>
      <w:r>
        <w:rPr>
          <w:rFonts w:hint="eastAsia" w:ascii="仿宋" w:hAnsi="仿宋" w:eastAsia="仿宋"/>
        </w:rPr>
        <w:t>7.</w:t>
      </w:r>
      <w:r>
        <w:t xml:space="preserve"> </w:t>
      </w:r>
      <w:r>
        <w:rPr>
          <w:rFonts w:ascii="仿宋" w:hAnsi="仿宋" w:eastAsia="仿宋"/>
        </w:rPr>
        <w:t>最高人民法院印发《关于充分发挥知识产权审判职能作用推动社会主义文化大发展大繁荣和促进经济自主协调发展若干问题的意见》的通知</w:t>
      </w:r>
    </w:p>
    <w:p>
      <w:pPr>
        <w:spacing w:line="312" w:lineRule="auto"/>
        <w:rPr>
          <w:rFonts w:ascii="仿宋" w:hAnsi="仿宋" w:eastAsia="仿宋"/>
        </w:rPr>
      </w:pPr>
      <w:r>
        <w:rPr>
          <w:rFonts w:hint="eastAsia" w:ascii="仿宋" w:hAnsi="仿宋" w:eastAsia="仿宋"/>
        </w:rPr>
        <w:t>8.《最高人民法院关于全面加强知识产权司法保护的意见》（ 法发〔2020〕11号）</w:t>
      </w:r>
    </w:p>
    <w:p>
      <w:pPr>
        <w:spacing w:line="312" w:lineRule="auto"/>
        <w:rPr>
          <w:rFonts w:ascii="仿宋" w:hAnsi="仿宋" w:eastAsia="仿宋"/>
        </w:rPr>
      </w:pPr>
      <w:r>
        <w:rPr>
          <w:rFonts w:hint="eastAsia" w:ascii="仿宋" w:hAnsi="仿宋" w:eastAsia="仿宋"/>
          <w:bCs/>
        </w:rPr>
        <w:t>9.《最高人民法院关于加强新时代知识产权审判工作 为知识产权强国建设提供有力司法服务和保障的意见》</w:t>
      </w:r>
      <w:r>
        <w:rPr>
          <w:rFonts w:hint="eastAsia" w:ascii="仿宋" w:hAnsi="仿宋" w:eastAsia="仿宋"/>
        </w:rPr>
        <w:t>（ 法发〔2021〕29号）</w:t>
      </w:r>
    </w:p>
    <w:p>
      <w:pPr>
        <w:spacing w:before="120" w:beforeLines="50" w:line="312" w:lineRule="auto"/>
        <w:rPr>
          <w:rFonts w:ascii="仿宋" w:hAnsi="仿宋" w:eastAsia="仿宋"/>
          <w:b/>
        </w:rPr>
      </w:pPr>
      <w:r>
        <w:rPr>
          <w:rFonts w:hint="eastAsia" w:ascii="仿宋" w:hAnsi="仿宋" w:eastAsia="仿宋"/>
          <w:b/>
        </w:rPr>
        <w:t>四、规章、规范性文件</w:t>
      </w:r>
    </w:p>
    <w:p>
      <w:pPr>
        <w:spacing w:line="312" w:lineRule="auto"/>
        <w:rPr>
          <w:rFonts w:ascii="仿宋" w:hAnsi="仿宋" w:eastAsia="仿宋"/>
        </w:rPr>
      </w:pPr>
      <w:r>
        <w:rPr>
          <w:rFonts w:hint="eastAsia" w:ascii="仿宋" w:hAnsi="仿宋" w:eastAsia="仿宋"/>
        </w:rPr>
        <w:t>1.《关于禁止侵犯商业秘密行为的若干规定》（1998年修订）</w:t>
      </w:r>
    </w:p>
    <w:p>
      <w:pPr>
        <w:spacing w:line="312" w:lineRule="auto"/>
        <w:rPr>
          <w:rFonts w:ascii="仿宋" w:hAnsi="仿宋" w:eastAsia="仿宋"/>
        </w:rPr>
      </w:pPr>
      <w:r>
        <w:rPr>
          <w:rFonts w:hint="eastAsia" w:ascii="仿宋" w:hAnsi="仿宋" w:eastAsia="仿宋"/>
        </w:rPr>
        <w:t>2.《浙江省技术秘密保护办法》（2008年修订）</w:t>
      </w:r>
    </w:p>
    <w:p>
      <w:pPr>
        <w:spacing w:line="312" w:lineRule="auto"/>
        <w:rPr>
          <w:rFonts w:ascii="仿宋" w:hAnsi="仿宋" w:eastAsia="仿宋"/>
        </w:rPr>
      </w:pPr>
      <w:bookmarkStart w:id="50" w:name="219"/>
      <w:r>
        <w:rPr>
          <w:rFonts w:hint="eastAsia" w:ascii="仿宋" w:hAnsi="仿宋" w:eastAsia="仿宋"/>
        </w:rPr>
        <w:t>3.《关于加强科技人员流动中技术秘密管理的若干意见》(国科发政字〔1997〕317号)</w:t>
      </w:r>
      <w:bookmarkEnd w:id="50"/>
    </w:p>
    <w:p>
      <w:pPr>
        <w:spacing w:line="312" w:lineRule="auto"/>
        <w:rPr>
          <w:rFonts w:ascii="仿宋" w:hAnsi="仿宋" w:eastAsia="仿宋"/>
        </w:rPr>
      </w:pPr>
      <w:r>
        <w:rPr>
          <w:rFonts w:hint="eastAsia" w:ascii="仿宋" w:hAnsi="仿宋" w:eastAsia="仿宋"/>
        </w:rPr>
        <w:t>4.《关于劳动争议案中涉及商业秘密侵权问题的函》（劳社厅函〔1999〕69号 ）</w:t>
      </w:r>
      <w:bookmarkEnd w:id="39"/>
    </w:p>
    <w:sectPr>
      <w:headerReference r:id="rId8" w:type="default"/>
      <w:footerReference r:id="rId9" w:type="default"/>
      <w:pgSz w:w="11906" w:h="16838"/>
      <w:pgMar w:top="1701" w:right="1134" w:bottom="1134" w:left="1701" w:header="851" w:footer="992" w:gutter="0"/>
      <w:pgNumType w:fmt="numberInDash" w:start="1"/>
      <w:cols w:space="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script"/>
    <w:pitch w:val="default"/>
    <w:sig w:usb0="A00002BF" w:usb1="38CF7CFA" w:usb2="00000016" w:usb3="00000000" w:csb0="0004000F" w:csb1="00000000"/>
  </w:font>
  <w:font w:name="DejaVu Sans">
    <w:altName w:val="Segoe Print"/>
    <w:panose1 w:val="00000000000000000000"/>
    <w:charset w:val="00"/>
    <w:family w:val="roman"/>
    <w:pitch w:val="default"/>
    <w:sig w:usb0="00000000" w:usb1="00000000" w:usb2="00000008" w:usb3="00000000" w:csb0="000001F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8"/>
      </w:rPr>
      <w:id w:val="1331181949"/>
    </w:sdtPr>
    <w:sdtEndPr>
      <w:rPr>
        <w:rStyle w:val="28"/>
      </w:rPr>
    </w:sdtEndPr>
    <w:sdtContent>
      <w:p>
        <w:pPr>
          <w:pStyle w:val="14"/>
          <w:framePr w:wrap="around" w:vAnchor="text" w:hAnchor="margin" w:xAlign="center" w:y="1"/>
          <w:rPr>
            <w:rStyle w:val="28"/>
          </w:rPr>
        </w:pPr>
        <w:r>
          <w:rPr>
            <w:rStyle w:val="28"/>
          </w:rPr>
          <w:fldChar w:fldCharType="begin"/>
        </w:r>
        <w:r>
          <w:rPr>
            <w:rStyle w:val="28"/>
          </w:rPr>
          <w:instrText xml:space="preserve"> PAGE </w:instrText>
        </w:r>
        <w:r>
          <w:rPr>
            <w:rStyle w:val="28"/>
          </w:rPr>
          <w:fldChar w:fldCharType="end"/>
        </w:r>
      </w:p>
    </w:sdtContent>
  </w:sdt>
  <w:p>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2735" cy="15430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92735"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- 1 -</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5pt;width:23.05pt;mso-position-horizontal:center;mso-position-horizontal-relative:margin;mso-wrap-style:none;z-index:251659264;mso-width-relative:page;mso-height-relative:page;" filled="f" stroked="f" coordsize="21600,21600" o:gfxdata="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TWee7tIAAAADAQAADwAAAAAAAAABACAAAAAiAAAAZHJzL2Rvd25yZXYueG1sUEsBAhQA&#10;FAAAAAgAh07iQNxvcVgxAgAAVQQAAA4AAAAAAAAAAQAgAAAAIQEAAGRycy9lMm9Eb2MueG1sUEsF&#10;BgAAAAAGAAYAWQEAAMQ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- 1 -</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lang w:eastAsia="zh-Han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single" w:color="auto" w:sz="4" w:space="1"/>
      </w:pBdr>
      <w:jc w:val="center"/>
      <w:rPr>
        <w:lang w:eastAsia="zh-Hans"/>
      </w:rPr>
    </w:pPr>
    <w:r>
      <w:rPr>
        <w:rFonts w:hint="eastAsia"/>
        <w:lang w:eastAsia="zh-Hans"/>
      </w:rPr>
      <w:t>律师办理商业秘密民事诉讼业务操作指引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53FC8"/>
    <w:multiLevelType w:val="multilevel"/>
    <w:tmpl w:val="02453FC8"/>
    <w:lvl w:ilvl="0" w:tentative="0">
      <w:start w:val="1"/>
      <w:numFmt w:val="decimal"/>
      <w:lvlText w:val="（%1）"/>
      <w:lvlJc w:val="left"/>
      <w:pPr>
        <w:ind w:left="420" w:hanging="420"/>
      </w:pPr>
      <w:rPr>
        <w:rFonts w:ascii="仿宋" w:hAnsi="仿宋" w:eastAsia="仿宋" w:cs="宋体"/>
      </w:rPr>
    </w:lvl>
    <w:lvl w:ilvl="1" w:tentative="0">
      <w:start w:val="1"/>
      <w:numFmt w:val="lowerLetter"/>
      <w:lvlText w:val="%2)"/>
      <w:lvlJc w:val="left"/>
      <w:pPr>
        <w:ind w:left="840" w:hanging="420"/>
      </w:pPr>
    </w:lvl>
    <w:lvl w:ilvl="2" w:tentative="0">
      <w:start w:val="1"/>
      <w:numFmt w:val="decimal"/>
      <w:lvlText w:val="（%3）"/>
      <w:lvlJc w:val="left"/>
      <w:pPr>
        <w:ind w:left="900" w:hanging="420"/>
      </w:pPr>
      <w:rPr>
        <w:rFonts w:ascii="仿宋" w:hAnsi="仿宋" w:eastAsia="仿宋" w:cs="宋体"/>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DA61121"/>
    <w:multiLevelType w:val="multilevel"/>
    <w:tmpl w:val="4DA61121"/>
    <w:lvl w:ilvl="0" w:tentative="0">
      <w:start w:val="1"/>
      <w:numFmt w:val="decimal"/>
      <w:lvlText w:val="（%1）"/>
      <w:lvlJc w:val="left"/>
      <w:pPr>
        <w:ind w:left="1648" w:hanging="1080"/>
      </w:pPr>
      <w:rPr>
        <w:rFonts w:ascii="仿宋" w:hAnsi="仿宋" w:eastAsia="仿宋" w:cs="宋体"/>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
    <w:nsid w:val="62620215"/>
    <w:multiLevelType w:val="singleLevel"/>
    <w:tmpl w:val="62620215"/>
    <w:lvl w:ilvl="0" w:tentative="0">
      <w:start w:val="82"/>
      <w:numFmt w:val="decimal"/>
      <w:suff w:val="space"/>
      <w:lvlText w:val="第%1条"/>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HorizontalSpacing w:val="120"/>
  <w:drawingGridVerticalSpacing w:val="163"/>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3YmFjNzBiZWUyMzQ0MmE2OGJiMGFiOTg5NDJiY2YifQ=="/>
  </w:docVars>
  <w:rsids>
    <w:rsidRoot w:val="7BBF8C69"/>
    <w:rsid w:val="0000436D"/>
    <w:rsid w:val="00005171"/>
    <w:rsid w:val="00010F76"/>
    <w:rsid w:val="00011382"/>
    <w:rsid w:val="000259B3"/>
    <w:rsid w:val="00030F0F"/>
    <w:rsid w:val="000440C4"/>
    <w:rsid w:val="00045C7D"/>
    <w:rsid w:val="00047DEB"/>
    <w:rsid w:val="00052030"/>
    <w:rsid w:val="0005439D"/>
    <w:rsid w:val="000563E8"/>
    <w:rsid w:val="00057D40"/>
    <w:rsid w:val="00066A77"/>
    <w:rsid w:val="00084B85"/>
    <w:rsid w:val="000907BF"/>
    <w:rsid w:val="00096684"/>
    <w:rsid w:val="0009735D"/>
    <w:rsid w:val="000A012A"/>
    <w:rsid w:val="000A49E4"/>
    <w:rsid w:val="000A64A1"/>
    <w:rsid w:val="000B3C54"/>
    <w:rsid w:val="000B7CA4"/>
    <w:rsid w:val="000C02E7"/>
    <w:rsid w:val="000C6EB8"/>
    <w:rsid w:val="000C7A6D"/>
    <w:rsid w:val="000D182F"/>
    <w:rsid w:val="000D5BFE"/>
    <w:rsid w:val="000D6A89"/>
    <w:rsid w:val="000E278D"/>
    <w:rsid w:val="000E507D"/>
    <w:rsid w:val="000E7C94"/>
    <w:rsid w:val="001043C8"/>
    <w:rsid w:val="001060C3"/>
    <w:rsid w:val="001112C5"/>
    <w:rsid w:val="001154F5"/>
    <w:rsid w:val="00115B0F"/>
    <w:rsid w:val="001227AF"/>
    <w:rsid w:val="00132452"/>
    <w:rsid w:val="00132C80"/>
    <w:rsid w:val="0013330E"/>
    <w:rsid w:val="0014730E"/>
    <w:rsid w:val="00153485"/>
    <w:rsid w:val="001634AC"/>
    <w:rsid w:val="00186CFE"/>
    <w:rsid w:val="0019475C"/>
    <w:rsid w:val="001A1C93"/>
    <w:rsid w:val="001A30DB"/>
    <w:rsid w:val="001A4D0A"/>
    <w:rsid w:val="001A51ED"/>
    <w:rsid w:val="001B1206"/>
    <w:rsid w:val="001B1296"/>
    <w:rsid w:val="001B448C"/>
    <w:rsid w:val="001B5EC2"/>
    <w:rsid w:val="001B76E9"/>
    <w:rsid w:val="001C0B77"/>
    <w:rsid w:val="001C11E7"/>
    <w:rsid w:val="001C15BD"/>
    <w:rsid w:val="001C1606"/>
    <w:rsid w:val="001C4BDF"/>
    <w:rsid w:val="001C593B"/>
    <w:rsid w:val="001D170A"/>
    <w:rsid w:val="001D1ECB"/>
    <w:rsid w:val="001D2BF3"/>
    <w:rsid w:val="001D4665"/>
    <w:rsid w:val="001E451A"/>
    <w:rsid w:val="001E45ED"/>
    <w:rsid w:val="001F276E"/>
    <w:rsid w:val="001F4E77"/>
    <w:rsid w:val="001F7975"/>
    <w:rsid w:val="00201776"/>
    <w:rsid w:val="00201CB4"/>
    <w:rsid w:val="0020209D"/>
    <w:rsid w:val="002056E1"/>
    <w:rsid w:val="00207C88"/>
    <w:rsid w:val="00213067"/>
    <w:rsid w:val="00214F60"/>
    <w:rsid w:val="0022429E"/>
    <w:rsid w:val="00226C4B"/>
    <w:rsid w:val="00227A0A"/>
    <w:rsid w:val="00227CEB"/>
    <w:rsid w:val="00230F93"/>
    <w:rsid w:val="00235EA0"/>
    <w:rsid w:val="00236FE4"/>
    <w:rsid w:val="0024045A"/>
    <w:rsid w:val="0024054B"/>
    <w:rsid w:val="00244577"/>
    <w:rsid w:val="00244995"/>
    <w:rsid w:val="00245C5C"/>
    <w:rsid w:val="002465DE"/>
    <w:rsid w:val="002549B4"/>
    <w:rsid w:val="00263D5A"/>
    <w:rsid w:val="00264627"/>
    <w:rsid w:val="00264FAE"/>
    <w:rsid w:val="002662E2"/>
    <w:rsid w:val="00267D66"/>
    <w:rsid w:val="00277AEF"/>
    <w:rsid w:val="002801CA"/>
    <w:rsid w:val="0028132A"/>
    <w:rsid w:val="00281412"/>
    <w:rsid w:val="00297A73"/>
    <w:rsid w:val="002A022E"/>
    <w:rsid w:val="002A2CD2"/>
    <w:rsid w:val="002A48BC"/>
    <w:rsid w:val="002C0068"/>
    <w:rsid w:val="002C6476"/>
    <w:rsid w:val="002D0068"/>
    <w:rsid w:val="002D4D6D"/>
    <w:rsid w:val="002E05F0"/>
    <w:rsid w:val="002F2BE3"/>
    <w:rsid w:val="002F44B6"/>
    <w:rsid w:val="00300AF6"/>
    <w:rsid w:val="00301A4D"/>
    <w:rsid w:val="00301E10"/>
    <w:rsid w:val="003145E8"/>
    <w:rsid w:val="003151C7"/>
    <w:rsid w:val="003225BF"/>
    <w:rsid w:val="00323134"/>
    <w:rsid w:val="00327B2B"/>
    <w:rsid w:val="00331190"/>
    <w:rsid w:val="0033131F"/>
    <w:rsid w:val="0034041D"/>
    <w:rsid w:val="00342CE6"/>
    <w:rsid w:val="00346F0A"/>
    <w:rsid w:val="00364133"/>
    <w:rsid w:val="0036439E"/>
    <w:rsid w:val="003650DB"/>
    <w:rsid w:val="003742B6"/>
    <w:rsid w:val="00377F2E"/>
    <w:rsid w:val="00391E23"/>
    <w:rsid w:val="003A00BF"/>
    <w:rsid w:val="003A0DE1"/>
    <w:rsid w:val="003A65D6"/>
    <w:rsid w:val="003A7F17"/>
    <w:rsid w:val="003B0656"/>
    <w:rsid w:val="003B482D"/>
    <w:rsid w:val="003C71E4"/>
    <w:rsid w:val="003E0A48"/>
    <w:rsid w:val="0040292F"/>
    <w:rsid w:val="00402B68"/>
    <w:rsid w:val="00414FFD"/>
    <w:rsid w:val="00420D18"/>
    <w:rsid w:val="00425597"/>
    <w:rsid w:val="00432443"/>
    <w:rsid w:val="00437C10"/>
    <w:rsid w:val="004435BA"/>
    <w:rsid w:val="00444CD8"/>
    <w:rsid w:val="00462370"/>
    <w:rsid w:val="00466BCB"/>
    <w:rsid w:val="00470FF5"/>
    <w:rsid w:val="00475F7F"/>
    <w:rsid w:val="004860BD"/>
    <w:rsid w:val="00486AC0"/>
    <w:rsid w:val="00486D8F"/>
    <w:rsid w:val="00490D77"/>
    <w:rsid w:val="00491137"/>
    <w:rsid w:val="0049158F"/>
    <w:rsid w:val="00492D83"/>
    <w:rsid w:val="0049338F"/>
    <w:rsid w:val="00493BF6"/>
    <w:rsid w:val="00495E02"/>
    <w:rsid w:val="00497243"/>
    <w:rsid w:val="00497FC5"/>
    <w:rsid w:val="004B1895"/>
    <w:rsid w:val="004B4436"/>
    <w:rsid w:val="004B7EDA"/>
    <w:rsid w:val="004C52E9"/>
    <w:rsid w:val="004E00EF"/>
    <w:rsid w:val="004E0BED"/>
    <w:rsid w:val="004E356A"/>
    <w:rsid w:val="004E3E14"/>
    <w:rsid w:val="00501DFC"/>
    <w:rsid w:val="0050669F"/>
    <w:rsid w:val="00507409"/>
    <w:rsid w:val="00507710"/>
    <w:rsid w:val="00517D2B"/>
    <w:rsid w:val="005200B4"/>
    <w:rsid w:val="00522BB9"/>
    <w:rsid w:val="005342B3"/>
    <w:rsid w:val="00536D0D"/>
    <w:rsid w:val="005438BE"/>
    <w:rsid w:val="005479B4"/>
    <w:rsid w:val="005502D5"/>
    <w:rsid w:val="005571FE"/>
    <w:rsid w:val="00563950"/>
    <w:rsid w:val="005765DA"/>
    <w:rsid w:val="0057780D"/>
    <w:rsid w:val="0058307D"/>
    <w:rsid w:val="005A1865"/>
    <w:rsid w:val="005B098C"/>
    <w:rsid w:val="005D08B4"/>
    <w:rsid w:val="005E1753"/>
    <w:rsid w:val="005E183B"/>
    <w:rsid w:val="005E494E"/>
    <w:rsid w:val="005F1369"/>
    <w:rsid w:val="005F3D6F"/>
    <w:rsid w:val="005F7612"/>
    <w:rsid w:val="00600378"/>
    <w:rsid w:val="00621151"/>
    <w:rsid w:val="00630A3E"/>
    <w:rsid w:val="0063230C"/>
    <w:rsid w:val="006327CE"/>
    <w:rsid w:val="00636A0C"/>
    <w:rsid w:val="00643FB3"/>
    <w:rsid w:val="0065289C"/>
    <w:rsid w:val="006563C1"/>
    <w:rsid w:val="0066008D"/>
    <w:rsid w:val="0066279B"/>
    <w:rsid w:val="00662F3F"/>
    <w:rsid w:val="0066408D"/>
    <w:rsid w:val="00664B00"/>
    <w:rsid w:val="00676C73"/>
    <w:rsid w:val="006807F7"/>
    <w:rsid w:val="00687BE8"/>
    <w:rsid w:val="00694E8B"/>
    <w:rsid w:val="006964AC"/>
    <w:rsid w:val="006A1F78"/>
    <w:rsid w:val="006B4976"/>
    <w:rsid w:val="006C15EB"/>
    <w:rsid w:val="006C7299"/>
    <w:rsid w:val="006D0274"/>
    <w:rsid w:val="006D4C79"/>
    <w:rsid w:val="006D6633"/>
    <w:rsid w:val="006E21F3"/>
    <w:rsid w:val="006E440E"/>
    <w:rsid w:val="006F0502"/>
    <w:rsid w:val="006F21F5"/>
    <w:rsid w:val="006F6C0B"/>
    <w:rsid w:val="006F7881"/>
    <w:rsid w:val="0070079D"/>
    <w:rsid w:val="0070433F"/>
    <w:rsid w:val="00705DCD"/>
    <w:rsid w:val="007102BB"/>
    <w:rsid w:val="00720523"/>
    <w:rsid w:val="00724DDB"/>
    <w:rsid w:val="00734CCD"/>
    <w:rsid w:val="007377C5"/>
    <w:rsid w:val="00746C04"/>
    <w:rsid w:val="00751109"/>
    <w:rsid w:val="00753493"/>
    <w:rsid w:val="00763171"/>
    <w:rsid w:val="007748F6"/>
    <w:rsid w:val="00780C33"/>
    <w:rsid w:val="0078390D"/>
    <w:rsid w:val="007905C7"/>
    <w:rsid w:val="00793AA4"/>
    <w:rsid w:val="007A44E7"/>
    <w:rsid w:val="007A4C6A"/>
    <w:rsid w:val="007B2D3F"/>
    <w:rsid w:val="007B3B3E"/>
    <w:rsid w:val="007C1397"/>
    <w:rsid w:val="007C7057"/>
    <w:rsid w:val="007D7A84"/>
    <w:rsid w:val="007E2914"/>
    <w:rsid w:val="007E36C8"/>
    <w:rsid w:val="007E70B6"/>
    <w:rsid w:val="007F3A9D"/>
    <w:rsid w:val="00801C5E"/>
    <w:rsid w:val="00804F6D"/>
    <w:rsid w:val="00806087"/>
    <w:rsid w:val="00806B05"/>
    <w:rsid w:val="00815851"/>
    <w:rsid w:val="00816FE1"/>
    <w:rsid w:val="00840C67"/>
    <w:rsid w:val="008420B1"/>
    <w:rsid w:val="00843055"/>
    <w:rsid w:val="00851A1E"/>
    <w:rsid w:val="008528DC"/>
    <w:rsid w:val="008537ED"/>
    <w:rsid w:val="00861979"/>
    <w:rsid w:val="00863E76"/>
    <w:rsid w:val="0086524D"/>
    <w:rsid w:val="00874A99"/>
    <w:rsid w:val="00875E59"/>
    <w:rsid w:val="00876027"/>
    <w:rsid w:val="008905CA"/>
    <w:rsid w:val="00893C6A"/>
    <w:rsid w:val="008967CA"/>
    <w:rsid w:val="00897119"/>
    <w:rsid w:val="008B142A"/>
    <w:rsid w:val="008B1618"/>
    <w:rsid w:val="008B1DCC"/>
    <w:rsid w:val="008B35E7"/>
    <w:rsid w:val="008B6C30"/>
    <w:rsid w:val="008C281C"/>
    <w:rsid w:val="008C443A"/>
    <w:rsid w:val="008C619D"/>
    <w:rsid w:val="008C7FFC"/>
    <w:rsid w:val="008F260C"/>
    <w:rsid w:val="008F6EC6"/>
    <w:rsid w:val="0090737A"/>
    <w:rsid w:val="0092429C"/>
    <w:rsid w:val="0092522E"/>
    <w:rsid w:val="00925AFE"/>
    <w:rsid w:val="00927283"/>
    <w:rsid w:val="00945ACC"/>
    <w:rsid w:val="00946AF4"/>
    <w:rsid w:val="0095021B"/>
    <w:rsid w:val="00951C11"/>
    <w:rsid w:val="0095681A"/>
    <w:rsid w:val="009627B4"/>
    <w:rsid w:val="00962C09"/>
    <w:rsid w:val="00991229"/>
    <w:rsid w:val="00991B90"/>
    <w:rsid w:val="00992A6B"/>
    <w:rsid w:val="00994411"/>
    <w:rsid w:val="009A1550"/>
    <w:rsid w:val="009A6ECE"/>
    <w:rsid w:val="009D019F"/>
    <w:rsid w:val="009D2ECC"/>
    <w:rsid w:val="009D51D4"/>
    <w:rsid w:val="009E2A22"/>
    <w:rsid w:val="009F0896"/>
    <w:rsid w:val="009F1AE3"/>
    <w:rsid w:val="00A32296"/>
    <w:rsid w:val="00A37E0B"/>
    <w:rsid w:val="00A41553"/>
    <w:rsid w:val="00A41F31"/>
    <w:rsid w:val="00A51D2E"/>
    <w:rsid w:val="00A65D54"/>
    <w:rsid w:val="00A6643E"/>
    <w:rsid w:val="00A73DFD"/>
    <w:rsid w:val="00A75A68"/>
    <w:rsid w:val="00A81FEB"/>
    <w:rsid w:val="00A8388F"/>
    <w:rsid w:val="00A868E6"/>
    <w:rsid w:val="00A87A07"/>
    <w:rsid w:val="00A90475"/>
    <w:rsid w:val="00A9102E"/>
    <w:rsid w:val="00A941AD"/>
    <w:rsid w:val="00A9498C"/>
    <w:rsid w:val="00A9716B"/>
    <w:rsid w:val="00A97F79"/>
    <w:rsid w:val="00AB0F03"/>
    <w:rsid w:val="00AB2763"/>
    <w:rsid w:val="00AB4413"/>
    <w:rsid w:val="00AB57F3"/>
    <w:rsid w:val="00AC7372"/>
    <w:rsid w:val="00AD3053"/>
    <w:rsid w:val="00AD409D"/>
    <w:rsid w:val="00AE06D0"/>
    <w:rsid w:val="00AE1A3A"/>
    <w:rsid w:val="00AE640C"/>
    <w:rsid w:val="00AF1A6A"/>
    <w:rsid w:val="00AF3444"/>
    <w:rsid w:val="00AF3FA1"/>
    <w:rsid w:val="00B02C72"/>
    <w:rsid w:val="00B0473C"/>
    <w:rsid w:val="00B06BAF"/>
    <w:rsid w:val="00B12CD8"/>
    <w:rsid w:val="00B1414F"/>
    <w:rsid w:val="00B43E09"/>
    <w:rsid w:val="00B54BF1"/>
    <w:rsid w:val="00B63707"/>
    <w:rsid w:val="00B93FAC"/>
    <w:rsid w:val="00B944C7"/>
    <w:rsid w:val="00B94BAA"/>
    <w:rsid w:val="00B95E76"/>
    <w:rsid w:val="00BA1F0A"/>
    <w:rsid w:val="00BA2A02"/>
    <w:rsid w:val="00BA345B"/>
    <w:rsid w:val="00BC0D74"/>
    <w:rsid w:val="00BD669E"/>
    <w:rsid w:val="00BF1AE1"/>
    <w:rsid w:val="00BF3521"/>
    <w:rsid w:val="00BF3E32"/>
    <w:rsid w:val="00BF50CE"/>
    <w:rsid w:val="00BF78C8"/>
    <w:rsid w:val="00C0114E"/>
    <w:rsid w:val="00C07110"/>
    <w:rsid w:val="00C07D2C"/>
    <w:rsid w:val="00C12D12"/>
    <w:rsid w:val="00C27DA9"/>
    <w:rsid w:val="00C35C77"/>
    <w:rsid w:val="00C36936"/>
    <w:rsid w:val="00C42B5A"/>
    <w:rsid w:val="00C45C09"/>
    <w:rsid w:val="00C46889"/>
    <w:rsid w:val="00C512A1"/>
    <w:rsid w:val="00C52E05"/>
    <w:rsid w:val="00C538F3"/>
    <w:rsid w:val="00C55D50"/>
    <w:rsid w:val="00C5660F"/>
    <w:rsid w:val="00C56DA6"/>
    <w:rsid w:val="00C72B61"/>
    <w:rsid w:val="00C83527"/>
    <w:rsid w:val="00C8460F"/>
    <w:rsid w:val="00C94E56"/>
    <w:rsid w:val="00C956A2"/>
    <w:rsid w:val="00C96325"/>
    <w:rsid w:val="00CA27DA"/>
    <w:rsid w:val="00CA45FF"/>
    <w:rsid w:val="00CB2A0B"/>
    <w:rsid w:val="00CC4DBB"/>
    <w:rsid w:val="00CD2638"/>
    <w:rsid w:val="00CD2A4E"/>
    <w:rsid w:val="00CE10C2"/>
    <w:rsid w:val="00CE16BE"/>
    <w:rsid w:val="00CE40AE"/>
    <w:rsid w:val="00CE7EB8"/>
    <w:rsid w:val="00CF018D"/>
    <w:rsid w:val="00D02DFC"/>
    <w:rsid w:val="00D03C72"/>
    <w:rsid w:val="00D05C80"/>
    <w:rsid w:val="00D2226C"/>
    <w:rsid w:val="00D246AA"/>
    <w:rsid w:val="00D35716"/>
    <w:rsid w:val="00D419D5"/>
    <w:rsid w:val="00D42CA4"/>
    <w:rsid w:val="00D47D40"/>
    <w:rsid w:val="00D52064"/>
    <w:rsid w:val="00D5224D"/>
    <w:rsid w:val="00D52CF2"/>
    <w:rsid w:val="00D5756A"/>
    <w:rsid w:val="00D60E84"/>
    <w:rsid w:val="00D66B2A"/>
    <w:rsid w:val="00D84A21"/>
    <w:rsid w:val="00D86DC1"/>
    <w:rsid w:val="00D906FE"/>
    <w:rsid w:val="00DA1F86"/>
    <w:rsid w:val="00DA2AB7"/>
    <w:rsid w:val="00DA5573"/>
    <w:rsid w:val="00DA6A55"/>
    <w:rsid w:val="00DB24E2"/>
    <w:rsid w:val="00DB38A4"/>
    <w:rsid w:val="00DB6909"/>
    <w:rsid w:val="00DB6B69"/>
    <w:rsid w:val="00DB7731"/>
    <w:rsid w:val="00DC0823"/>
    <w:rsid w:val="00DC5776"/>
    <w:rsid w:val="00DC799F"/>
    <w:rsid w:val="00DD068E"/>
    <w:rsid w:val="00DD51CC"/>
    <w:rsid w:val="00DE26D8"/>
    <w:rsid w:val="00DE40C1"/>
    <w:rsid w:val="00DF2224"/>
    <w:rsid w:val="00E04751"/>
    <w:rsid w:val="00E04756"/>
    <w:rsid w:val="00E11DFC"/>
    <w:rsid w:val="00E1251B"/>
    <w:rsid w:val="00E16602"/>
    <w:rsid w:val="00E25F1A"/>
    <w:rsid w:val="00E377DF"/>
    <w:rsid w:val="00E40D33"/>
    <w:rsid w:val="00E4474B"/>
    <w:rsid w:val="00E462FC"/>
    <w:rsid w:val="00E47298"/>
    <w:rsid w:val="00E47842"/>
    <w:rsid w:val="00E47E82"/>
    <w:rsid w:val="00E53259"/>
    <w:rsid w:val="00E54A8E"/>
    <w:rsid w:val="00E57D1A"/>
    <w:rsid w:val="00E6169E"/>
    <w:rsid w:val="00E624F2"/>
    <w:rsid w:val="00E630DC"/>
    <w:rsid w:val="00E671F0"/>
    <w:rsid w:val="00E676CC"/>
    <w:rsid w:val="00E7045E"/>
    <w:rsid w:val="00E709C0"/>
    <w:rsid w:val="00E82054"/>
    <w:rsid w:val="00E84283"/>
    <w:rsid w:val="00E92824"/>
    <w:rsid w:val="00E92CB5"/>
    <w:rsid w:val="00E95E04"/>
    <w:rsid w:val="00E9696C"/>
    <w:rsid w:val="00E96AC3"/>
    <w:rsid w:val="00EB0424"/>
    <w:rsid w:val="00EB60D7"/>
    <w:rsid w:val="00EC4D25"/>
    <w:rsid w:val="00EC5D32"/>
    <w:rsid w:val="00EC63CB"/>
    <w:rsid w:val="00ED0A01"/>
    <w:rsid w:val="00ED30C9"/>
    <w:rsid w:val="00ED3E11"/>
    <w:rsid w:val="00EE1AFD"/>
    <w:rsid w:val="00EE2835"/>
    <w:rsid w:val="00EE3938"/>
    <w:rsid w:val="00EF7721"/>
    <w:rsid w:val="00F0147D"/>
    <w:rsid w:val="00F10AB8"/>
    <w:rsid w:val="00F12FED"/>
    <w:rsid w:val="00F17CF1"/>
    <w:rsid w:val="00F33CA9"/>
    <w:rsid w:val="00F50A05"/>
    <w:rsid w:val="00F6065F"/>
    <w:rsid w:val="00F606D0"/>
    <w:rsid w:val="00F6180C"/>
    <w:rsid w:val="00F63F1A"/>
    <w:rsid w:val="00F63FFE"/>
    <w:rsid w:val="00F72513"/>
    <w:rsid w:val="00F81E4E"/>
    <w:rsid w:val="00F8775F"/>
    <w:rsid w:val="00F92FD5"/>
    <w:rsid w:val="00F94B04"/>
    <w:rsid w:val="00F96A32"/>
    <w:rsid w:val="00FB0CB8"/>
    <w:rsid w:val="00FB5D50"/>
    <w:rsid w:val="00FB6CBD"/>
    <w:rsid w:val="00FB7313"/>
    <w:rsid w:val="00FC40FE"/>
    <w:rsid w:val="00FC7CBE"/>
    <w:rsid w:val="00FE1C09"/>
    <w:rsid w:val="00FE4B18"/>
    <w:rsid w:val="00FE63F8"/>
    <w:rsid w:val="00FF20DF"/>
    <w:rsid w:val="00FF6EB2"/>
    <w:rsid w:val="07FB568C"/>
    <w:rsid w:val="0DBF20DB"/>
    <w:rsid w:val="0EDB7A21"/>
    <w:rsid w:val="13BE86F0"/>
    <w:rsid w:val="13F71364"/>
    <w:rsid w:val="13FE390F"/>
    <w:rsid w:val="177DECAC"/>
    <w:rsid w:val="17EBADFE"/>
    <w:rsid w:val="17F9AF3A"/>
    <w:rsid w:val="1A7F0E0F"/>
    <w:rsid w:val="1AECF987"/>
    <w:rsid w:val="1BFED66F"/>
    <w:rsid w:val="1BFF203B"/>
    <w:rsid w:val="1BFFC8AA"/>
    <w:rsid w:val="1C5E7679"/>
    <w:rsid w:val="1D3F9D35"/>
    <w:rsid w:val="1DDFA22C"/>
    <w:rsid w:val="1E9FA9E9"/>
    <w:rsid w:val="1EF794A2"/>
    <w:rsid w:val="1EFBDF7F"/>
    <w:rsid w:val="1EFE08F5"/>
    <w:rsid w:val="1EFE6170"/>
    <w:rsid w:val="1F730B84"/>
    <w:rsid w:val="1FB7CEAE"/>
    <w:rsid w:val="1FBB1AA4"/>
    <w:rsid w:val="1FC8A7FE"/>
    <w:rsid w:val="1FD30085"/>
    <w:rsid w:val="1FEEF403"/>
    <w:rsid w:val="1FFF701B"/>
    <w:rsid w:val="22C4A179"/>
    <w:rsid w:val="22FB6650"/>
    <w:rsid w:val="23B509DF"/>
    <w:rsid w:val="24F3B2CE"/>
    <w:rsid w:val="259FE23D"/>
    <w:rsid w:val="25F746C4"/>
    <w:rsid w:val="27CFC62A"/>
    <w:rsid w:val="27E3106C"/>
    <w:rsid w:val="27FDAB83"/>
    <w:rsid w:val="2BD765EB"/>
    <w:rsid w:val="2BEEA58E"/>
    <w:rsid w:val="2BEF7EE5"/>
    <w:rsid w:val="2BF6D98E"/>
    <w:rsid w:val="2CF32C01"/>
    <w:rsid w:val="2CFE99EF"/>
    <w:rsid w:val="2CFFC0A3"/>
    <w:rsid w:val="2DFE720A"/>
    <w:rsid w:val="2DFF7578"/>
    <w:rsid w:val="2E7362CB"/>
    <w:rsid w:val="2FBF4F19"/>
    <w:rsid w:val="2FE9CCF6"/>
    <w:rsid w:val="2FEB59A4"/>
    <w:rsid w:val="2FF5D736"/>
    <w:rsid w:val="2FF9E608"/>
    <w:rsid w:val="2FFA07E8"/>
    <w:rsid w:val="2FFBE851"/>
    <w:rsid w:val="2FFCC825"/>
    <w:rsid w:val="2FFFEAF3"/>
    <w:rsid w:val="3378DAD6"/>
    <w:rsid w:val="33792508"/>
    <w:rsid w:val="33FE4552"/>
    <w:rsid w:val="352DFA08"/>
    <w:rsid w:val="35F16950"/>
    <w:rsid w:val="35F948FE"/>
    <w:rsid w:val="35FF8025"/>
    <w:rsid w:val="364E60A9"/>
    <w:rsid w:val="36F45F4B"/>
    <w:rsid w:val="376C314E"/>
    <w:rsid w:val="376E70CF"/>
    <w:rsid w:val="3777FDDE"/>
    <w:rsid w:val="379FF2F2"/>
    <w:rsid w:val="37AFADC8"/>
    <w:rsid w:val="37B7E29B"/>
    <w:rsid w:val="37F7E0A8"/>
    <w:rsid w:val="37FACEF8"/>
    <w:rsid w:val="38FF15CC"/>
    <w:rsid w:val="397F735E"/>
    <w:rsid w:val="39D2E583"/>
    <w:rsid w:val="3A2E8F74"/>
    <w:rsid w:val="3A7F0F9D"/>
    <w:rsid w:val="3AF82F53"/>
    <w:rsid w:val="3AFFDC31"/>
    <w:rsid w:val="3B792BCB"/>
    <w:rsid w:val="3B7DEAA9"/>
    <w:rsid w:val="3B7E055D"/>
    <w:rsid w:val="3B9B5495"/>
    <w:rsid w:val="3BB5BB00"/>
    <w:rsid w:val="3BB874B9"/>
    <w:rsid w:val="3BDE6442"/>
    <w:rsid w:val="3BDFDE0D"/>
    <w:rsid w:val="3BE31980"/>
    <w:rsid w:val="3BF7FD23"/>
    <w:rsid w:val="3C36B170"/>
    <w:rsid w:val="3CB9CA11"/>
    <w:rsid w:val="3CD82C5B"/>
    <w:rsid w:val="3D3F0259"/>
    <w:rsid w:val="3D5E6941"/>
    <w:rsid w:val="3D7E4571"/>
    <w:rsid w:val="3DA18C0A"/>
    <w:rsid w:val="3DB782DC"/>
    <w:rsid w:val="3DB9AC46"/>
    <w:rsid w:val="3DFCEDB5"/>
    <w:rsid w:val="3DFEE495"/>
    <w:rsid w:val="3E339991"/>
    <w:rsid w:val="3E9B35EC"/>
    <w:rsid w:val="3EA5808B"/>
    <w:rsid w:val="3EBF1B9E"/>
    <w:rsid w:val="3EDE94CD"/>
    <w:rsid w:val="3EE6CA09"/>
    <w:rsid w:val="3EEAA98C"/>
    <w:rsid w:val="3EEAD025"/>
    <w:rsid w:val="3EFD95CA"/>
    <w:rsid w:val="3F5E1B3C"/>
    <w:rsid w:val="3F6F6165"/>
    <w:rsid w:val="3F76BD9F"/>
    <w:rsid w:val="3F785990"/>
    <w:rsid w:val="3F7F4262"/>
    <w:rsid w:val="3F7FBB95"/>
    <w:rsid w:val="3FB6D5E3"/>
    <w:rsid w:val="3FC4FA81"/>
    <w:rsid w:val="3FD9FB8A"/>
    <w:rsid w:val="3FDD705E"/>
    <w:rsid w:val="3FDF0A87"/>
    <w:rsid w:val="3FE7FC6C"/>
    <w:rsid w:val="3FEBE5A7"/>
    <w:rsid w:val="3FF76BD4"/>
    <w:rsid w:val="3FFD66C5"/>
    <w:rsid w:val="457BAD63"/>
    <w:rsid w:val="45BF8341"/>
    <w:rsid w:val="45DFF169"/>
    <w:rsid w:val="479B5FB0"/>
    <w:rsid w:val="479F5FB4"/>
    <w:rsid w:val="47DDCFFA"/>
    <w:rsid w:val="47FD36EA"/>
    <w:rsid w:val="48CCA65D"/>
    <w:rsid w:val="49CBD606"/>
    <w:rsid w:val="4AFE87B4"/>
    <w:rsid w:val="4B7D210E"/>
    <w:rsid w:val="4B7FC95E"/>
    <w:rsid w:val="4BBB0121"/>
    <w:rsid w:val="4BF21250"/>
    <w:rsid w:val="4BF7CA9E"/>
    <w:rsid w:val="4D7BCB49"/>
    <w:rsid w:val="4DD61413"/>
    <w:rsid w:val="4DDD46FC"/>
    <w:rsid w:val="4E5FD6DD"/>
    <w:rsid w:val="4E7E368F"/>
    <w:rsid w:val="4EFD92EA"/>
    <w:rsid w:val="4F5FC5C2"/>
    <w:rsid w:val="4FD98B24"/>
    <w:rsid w:val="4FF93701"/>
    <w:rsid w:val="52BF9CFF"/>
    <w:rsid w:val="53F3C652"/>
    <w:rsid w:val="53F3D37F"/>
    <w:rsid w:val="53FC5411"/>
    <w:rsid w:val="54FF2ACA"/>
    <w:rsid w:val="553FECBC"/>
    <w:rsid w:val="55BD0DFB"/>
    <w:rsid w:val="55F2A0B7"/>
    <w:rsid w:val="56FF284D"/>
    <w:rsid w:val="574D542F"/>
    <w:rsid w:val="57BF839A"/>
    <w:rsid w:val="57FEBDD5"/>
    <w:rsid w:val="587B9925"/>
    <w:rsid w:val="597B735E"/>
    <w:rsid w:val="599FB8C0"/>
    <w:rsid w:val="59D7DE40"/>
    <w:rsid w:val="59D7EC3E"/>
    <w:rsid w:val="59DFA838"/>
    <w:rsid w:val="5AF65A5C"/>
    <w:rsid w:val="5BD6D3D9"/>
    <w:rsid w:val="5BDE1F16"/>
    <w:rsid w:val="5BF7F9B5"/>
    <w:rsid w:val="5BFFC7AC"/>
    <w:rsid w:val="5C574FB6"/>
    <w:rsid w:val="5C5F9698"/>
    <w:rsid w:val="5C721AC0"/>
    <w:rsid w:val="5DA32010"/>
    <w:rsid w:val="5DBF01EF"/>
    <w:rsid w:val="5DF37FE7"/>
    <w:rsid w:val="5DFA0B41"/>
    <w:rsid w:val="5DFF79EF"/>
    <w:rsid w:val="5E37893A"/>
    <w:rsid w:val="5E37D543"/>
    <w:rsid w:val="5E9F7CE2"/>
    <w:rsid w:val="5EA9BB1F"/>
    <w:rsid w:val="5EB58B54"/>
    <w:rsid w:val="5EDD52F9"/>
    <w:rsid w:val="5EDE81ED"/>
    <w:rsid w:val="5EFE966B"/>
    <w:rsid w:val="5EFFA46D"/>
    <w:rsid w:val="5EFFAC39"/>
    <w:rsid w:val="5F3F93E6"/>
    <w:rsid w:val="5F4BA679"/>
    <w:rsid w:val="5F6D1BA6"/>
    <w:rsid w:val="5F76BB61"/>
    <w:rsid w:val="5F7B03E6"/>
    <w:rsid w:val="5F8B1886"/>
    <w:rsid w:val="5F8EC6D9"/>
    <w:rsid w:val="5FAF04C1"/>
    <w:rsid w:val="5FB9581A"/>
    <w:rsid w:val="5FBD656E"/>
    <w:rsid w:val="5FBF5BF0"/>
    <w:rsid w:val="5FD78ADB"/>
    <w:rsid w:val="5FDBE67E"/>
    <w:rsid w:val="5FDFF9DA"/>
    <w:rsid w:val="5FEE59D6"/>
    <w:rsid w:val="5FEF64E6"/>
    <w:rsid w:val="5FEFECB5"/>
    <w:rsid w:val="5FF3F100"/>
    <w:rsid w:val="5FFD1A3C"/>
    <w:rsid w:val="5FFD2372"/>
    <w:rsid w:val="5FFD31DA"/>
    <w:rsid w:val="5FFD59D7"/>
    <w:rsid w:val="5FFEADE6"/>
    <w:rsid w:val="613F1F51"/>
    <w:rsid w:val="6177103A"/>
    <w:rsid w:val="617F7CAC"/>
    <w:rsid w:val="63763D50"/>
    <w:rsid w:val="63FBAB28"/>
    <w:rsid w:val="645B67D3"/>
    <w:rsid w:val="64EEE0B6"/>
    <w:rsid w:val="65CEB26D"/>
    <w:rsid w:val="65DBBD51"/>
    <w:rsid w:val="65EDFE41"/>
    <w:rsid w:val="665E3F4B"/>
    <w:rsid w:val="67737539"/>
    <w:rsid w:val="677F071D"/>
    <w:rsid w:val="677FEA74"/>
    <w:rsid w:val="67BF8651"/>
    <w:rsid w:val="67DFBE01"/>
    <w:rsid w:val="67E74C45"/>
    <w:rsid w:val="67EF1231"/>
    <w:rsid w:val="67FCD247"/>
    <w:rsid w:val="67FE8273"/>
    <w:rsid w:val="689A3E58"/>
    <w:rsid w:val="68BBAF69"/>
    <w:rsid w:val="693F01DF"/>
    <w:rsid w:val="697F5887"/>
    <w:rsid w:val="69DC2778"/>
    <w:rsid w:val="69F755A7"/>
    <w:rsid w:val="69FD238A"/>
    <w:rsid w:val="69FD4A42"/>
    <w:rsid w:val="69FE444E"/>
    <w:rsid w:val="6A7CC8F5"/>
    <w:rsid w:val="6BBECDF2"/>
    <w:rsid w:val="6BDAB006"/>
    <w:rsid w:val="6BE1F6C1"/>
    <w:rsid w:val="6BE749B5"/>
    <w:rsid w:val="6BEB0908"/>
    <w:rsid w:val="6BEED9A7"/>
    <w:rsid w:val="6BEF875B"/>
    <w:rsid w:val="6BFF16CE"/>
    <w:rsid w:val="6CEB0613"/>
    <w:rsid w:val="6CFF800E"/>
    <w:rsid w:val="6D3FB5C4"/>
    <w:rsid w:val="6D65ADE0"/>
    <w:rsid w:val="6D75ADCC"/>
    <w:rsid w:val="6D76EF4C"/>
    <w:rsid w:val="6D9BBFC1"/>
    <w:rsid w:val="6DBB580B"/>
    <w:rsid w:val="6DBC1E60"/>
    <w:rsid w:val="6DBF0707"/>
    <w:rsid w:val="6DBF73F3"/>
    <w:rsid w:val="6DBFC738"/>
    <w:rsid w:val="6DDF9611"/>
    <w:rsid w:val="6DE2E777"/>
    <w:rsid w:val="6DFF7A7C"/>
    <w:rsid w:val="6DFF80F9"/>
    <w:rsid w:val="6E7C8B86"/>
    <w:rsid w:val="6ED7E0CF"/>
    <w:rsid w:val="6F36BCD9"/>
    <w:rsid w:val="6F39D357"/>
    <w:rsid w:val="6F4E8F4A"/>
    <w:rsid w:val="6F7780DC"/>
    <w:rsid w:val="6F7E91BE"/>
    <w:rsid w:val="6F8E1882"/>
    <w:rsid w:val="6FA95565"/>
    <w:rsid w:val="6FAF4668"/>
    <w:rsid w:val="6FAF5764"/>
    <w:rsid w:val="6FBBF2F2"/>
    <w:rsid w:val="6FDC7DC9"/>
    <w:rsid w:val="6FEC445D"/>
    <w:rsid w:val="6FEF0079"/>
    <w:rsid w:val="6FF391E5"/>
    <w:rsid w:val="6FF5AFFD"/>
    <w:rsid w:val="6FF987B4"/>
    <w:rsid w:val="6FFEE666"/>
    <w:rsid w:val="6FFF2337"/>
    <w:rsid w:val="6FFFD4FC"/>
    <w:rsid w:val="6FFFED8F"/>
    <w:rsid w:val="71BFEB2D"/>
    <w:rsid w:val="71C7BC9D"/>
    <w:rsid w:val="72534A81"/>
    <w:rsid w:val="72DC0FB8"/>
    <w:rsid w:val="72E6BCE5"/>
    <w:rsid w:val="72FD2407"/>
    <w:rsid w:val="737BA143"/>
    <w:rsid w:val="73BF02E6"/>
    <w:rsid w:val="73DF01FC"/>
    <w:rsid w:val="73EF4683"/>
    <w:rsid w:val="73EFCE2B"/>
    <w:rsid w:val="73FEDC21"/>
    <w:rsid w:val="73FF5F6B"/>
    <w:rsid w:val="743BFD90"/>
    <w:rsid w:val="743F2901"/>
    <w:rsid w:val="746F5162"/>
    <w:rsid w:val="74F3CA68"/>
    <w:rsid w:val="74FD16A0"/>
    <w:rsid w:val="74FF700D"/>
    <w:rsid w:val="75238897"/>
    <w:rsid w:val="755A8E5C"/>
    <w:rsid w:val="755F5868"/>
    <w:rsid w:val="756C5A2D"/>
    <w:rsid w:val="7577949B"/>
    <w:rsid w:val="75ED750F"/>
    <w:rsid w:val="75EFED43"/>
    <w:rsid w:val="75FD2320"/>
    <w:rsid w:val="75FE448C"/>
    <w:rsid w:val="767D671A"/>
    <w:rsid w:val="76BF2480"/>
    <w:rsid w:val="76CF0CEC"/>
    <w:rsid w:val="76DB1DA4"/>
    <w:rsid w:val="76EB7130"/>
    <w:rsid w:val="76F79B26"/>
    <w:rsid w:val="76FF0B3A"/>
    <w:rsid w:val="76FF4054"/>
    <w:rsid w:val="775F1530"/>
    <w:rsid w:val="77697A50"/>
    <w:rsid w:val="777DDE06"/>
    <w:rsid w:val="777F43F2"/>
    <w:rsid w:val="779D51FE"/>
    <w:rsid w:val="77AF7EA0"/>
    <w:rsid w:val="77BDBF9D"/>
    <w:rsid w:val="77BFB5B4"/>
    <w:rsid w:val="77C52043"/>
    <w:rsid w:val="77CCA3BA"/>
    <w:rsid w:val="77D6786C"/>
    <w:rsid w:val="77DB52B3"/>
    <w:rsid w:val="77DD82B2"/>
    <w:rsid w:val="77E759EA"/>
    <w:rsid w:val="77E7BAA7"/>
    <w:rsid w:val="77EA3E07"/>
    <w:rsid w:val="77EF857E"/>
    <w:rsid w:val="77EF8EC5"/>
    <w:rsid w:val="77FB1B9D"/>
    <w:rsid w:val="77FF0529"/>
    <w:rsid w:val="77FF66DD"/>
    <w:rsid w:val="78EF0269"/>
    <w:rsid w:val="793F3658"/>
    <w:rsid w:val="795709C4"/>
    <w:rsid w:val="797F78BF"/>
    <w:rsid w:val="799EA2B1"/>
    <w:rsid w:val="79AC722A"/>
    <w:rsid w:val="79B73AD3"/>
    <w:rsid w:val="79BFF9FC"/>
    <w:rsid w:val="79FF93B9"/>
    <w:rsid w:val="7A5FD3D0"/>
    <w:rsid w:val="7A7F0412"/>
    <w:rsid w:val="7A87A4EB"/>
    <w:rsid w:val="7AEFAA1C"/>
    <w:rsid w:val="7AFF01C9"/>
    <w:rsid w:val="7AFF9DFD"/>
    <w:rsid w:val="7B3D3E2E"/>
    <w:rsid w:val="7B3FE047"/>
    <w:rsid w:val="7B5F2667"/>
    <w:rsid w:val="7B6FC60B"/>
    <w:rsid w:val="7B797911"/>
    <w:rsid w:val="7B7DAC8D"/>
    <w:rsid w:val="7B7ED7CE"/>
    <w:rsid w:val="7B970D03"/>
    <w:rsid w:val="7BBF8C69"/>
    <w:rsid w:val="7BCBDB18"/>
    <w:rsid w:val="7BDD64EE"/>
    <w:rsid w:val="7BE5CB84"/>
    <w:rsid w:val="7BE97A48"/>
    <w:rsid w:val="7BEC33ED"/>
    <w:rsid w:val="7BEF0C9C"/>
    <w:rsid w:val="7BF34E8A"/>
    <w:rsid w:val="7BF39755"/>
    <w:rsid w:val="7BF71BFF"/>
    <w:rsid w:val="7BFD4FB9"/>
    <w:rsid w:val="7C5F618C"/>
    <w:rsid w:val="7C7379E7"/>
    <w:rsid w:val="7CED6FCE"/>
    <w:rsid w:val="7CEE047F"/>
    <w:rsid w:val="7CF70564"/>
    <w:rsid w:val="7CFFFE8B"/>
    <w:rsid w:val="7D7B4FFB"/>
    <w:rsid w:val="7D9B4FE5"/>
    <w:rsid w:val="7DAFADB9"/>
    <w:rsid w:val="7DD3FE10"/>
    <w:rsid w:val="7DDD79C8"/>
    <w:rsid w:val="7DDE4731"/>
    <w:rsid w:val="7DDF1F6E"/>
    <w:rsid w:val="7DE37E3A"/>
    <w:rsid w:val="7DE7FA18"/>
    <w:rsid w:val="7DEBF011"/>
    <w:rsid w:val="7DED5A1D"/>
    <w:rsid w:val="7DEF0ABE"/>
    <w:rsid w:val="7DF3DF13"/>
    <w:rsid w:val="7DF78442"/>
    <w:rsid w:val="7DFB8F22"/>
    <w:rsid w:val="7DFBB60E"/>
    <w:rsid w:val="7DFD7FA1"/>
    <w:rsid w:val="7DFE6364"/>
    <w:rsid w:val="7DFEB3C0"/>
    <w:rsid w:val="7DFEC6B4"/>
    <w:rsid w:val="7DFFD7A4"/>
    <w:rsid w:val="7E17406E"/>
    <w:rsid w:val="7E3F264B"/>
    <w:rsid w:val="7E4CE653"/>
    <w:rsid w:val="7E596A64"/>
    <w:rsid w:val="7E5F95F5"/>
    <w:rsid w:val="7E6D194E"/>
    <w:rsid w:val="7E7D4C8E"/>
    <w:rsid w:val="7E7F8BA5"/>
    <w:rsid w:val="7E7FE81B"/>
    <w:rsid w:val="7EABD24C"/>
    <w:rsid w:val="7EAFA6DA"/>
    <w:rsid w:val="7EBD72C7"/>
    <w:rsid w:val="7ECD6D3B"/>
    <w:rsid w:val="7ECF3434"/>
    <w:rsid w:val="7EDA5A7B"/>
    <w:rsid w:val="7EDBE000"/>
    <w:rsid w:val="7EDBE193"/>
    <w:rsid w:val="7EDC3B2D"/>
    <w:rsid w:val="7EDDC78A"/>
    <w:rsid w:val="7EECC234"/>
    <w:rsid w:val="7EFADFE8"/>
    <w:rsid w:val="7EFCB99B"/>
    <w:rsid w:val="7EFCBB4E"/>
    <w:rsid w:val="7EFE822C"/>
    <w:rsid w:val="7EFEC469"/>
    <w:rsid w:val="7EFED15D"/>
    <w:rsid w:val="7EFEFAFA"/>
    <w:rsid w:val="7EFF1FDB"/>
    <w:rsid w:val="7F1F2451"/>
    <w:rsid w:val="7F2B5140"/>
    <w:rsid w:val="7F3775EE"/>
    <w:rsid w:val="7F395764"/>
    <w:rsid w:val="7F3A4A3D"/>
    <w:rsid w:val="7F3D16CD"/>
    <w:rsid w:val="7F3FB37F"/>
    <w:rsid w:val="7F5E1BF1"/>
    <w:rsid w:val="7F5FA994"/>
    <w:rsid w:val="7F6F4123"/>
    <w:rsid w:val="7F720261"/>
    <w:rsid w:val="7F77268E"/>
    <w:rsid w:val="7F7771C8"/>
    <w:rsid w:val="7F7D2FA3"/>
    <w:rsid w:val="7F7D5BFA"/>
    <w:rsid w:val="7F8F8D88"/>
    <w:rsid w:val="7F9FB350"/>
    <w:rsid w:val="7FA75ACD"/>
    <w:rsid w:val="7FA75D6E"/>
    <w:rsid w:val="7FAF2759"/>
    <w:rsid w:val="7FAFAE84"/>
    <w:rsid w:val="7FAFCFB4"/>
    <w:rsid w:val="7FB6E630"/>
    <w:rsid w:val="7FB95693"/>
    <w:rsid w:val="7FBBF05C"/>
    <w:rsid w:val="7FBCD22C"/>
    <w:rsid w:val="7FBDFC39"/>
    <w:rsid w:val="7FBE5118"/>
    <w:rsid w:val="7FBEADA0"/>
    <w:rsid w:val="7FBF24BB"/>
    <w:rsid w:val="7FBF2CA2"/>
    <w:rsid w:val="7FC7CD11"/>
    <w:rsid w:val="7FC7E83E"/>
    <w:rsid w:val="7FC81887"/>
    <w:rsid w:val="7FCB5600"/>
    <w:rsid w:val="7FD65FC1"/>
    <w:rsid w:val="7FD9E7E1"/>
    <w:rsid w:val="7FDD7963"/>
    <w:rsid w:val="7FDDC1A9"/>
    <w:rsid w:val="7FDF3F6E"/>
    <w:rsid w:val="7FDF9ADD"/>
    <w:rsid w:val="7FDFD8D4"/>
    <w:rsid w:val="7FE5617D"/>
    <w:rsid w:val="7FE59B28"/>
    <w:rsid w:val="7FEDD27A"/>
    <w:rsid w:val="7FEE39FA"/>
    <w:rsid w:val="7FEF398D"/>
    <w:rsid w:val="7FEFA2A1"/>
    <w:rsid w:val="7FF50703"/>
    <w:rsid w:val="7FF56784"/>
    <w:rsid w:val="7FF782BC"/>
    <w:rsid w:val="7FF96AEF"/>
    <w:rsid w:val="7FFAA927"/>
    <w:rsid w:val="7FFB0EC0"/>
    <w:rsid w:val="7FFB12C1"/>
    <w:rsid w:val="7FFB1E5D"/>
    <w:rsid w:val="7FFBD935"/>
    <w:rsid w:val="7FFC15A2"/>
    <w:rsid w:val="7FFCD899"/>
    <w:rsid w:val="7FFD26FC"/>
    <w:rsid w:val="7FFD3B2A"/>
    <w:rsid w:val="7FFD9BBC"/>
    <w:rsid w:val="7FFDC6A4"/>
    <w:rsid w:val="7FFDD1B7"/>
    <w:rsid w:val="7FFF14C0"/>
    <w:rsid w:val="7FFF181E"/>
    <w:rsid w:val="7FFF435F"/>
    <w:rsid w:val="7FFF48A0"/>
    <w:rsid w:val="7FFF771D"/>
    <w:rsid w:val="7FFF8F5A"/>
    <w:rsid w:val="7FFFA240"/>
    <w:rsid w:val="7FFFB533"/>
    <w:rsid w:val="7FFFB5DB"/>
    <w:rsid w:val="7FFFC8AA"/>
    <w:rsid w:val="7FFFD4E9"/>
    <w:rsid w:val="7FFFF01E"/>
    <w:rsid w:val="85FEEC0A"/>
    <w:rsid w:val="87FD060E"/>
    <w:rsid w:val="8EDC7F8B"/>
    <w:rsid w:val="8FBD2BE4"/>
    <w:rsid w:val="92FEADAE"/>
    <w:rsid w:val="94BF6FFA"/>
    <w:rsid w:val="966FAF67"/>
    <w:rsid w:val="97BFE266"/>
    <w:rsid w:val="97D99E6F"/>
    <w:rsid w:val="97F7E2AC"/>
    <w:rsid w:val="97F7F1F7"/>
    <w:rsid w:val="99DD8618"/>
    <w:rsid w:val="99FF1D06"/>
    <w:rsid w:val="9ADB9E02"/>
    <w:rsid w:val="9B55C426"/>
    <w:rsid w:val="9BBF4529"/>
    <w:rsid w:val="9BBF988A"/>
    <w:rsid w:val="9BC853F7"/>
    <w:rsid w:val="9BDF1555"/>
    <w:rsid w:val="9BF621CB"/>
    <w:rsid w:val="9BFFACEF"/>
    <w:rsid w:val="9BFFE717"/>
    <w:rsid w:val="9D77E040"/>
    <w:rsid w:val="9D7EC338"/>
    <w:rsid w:val="9DC4586E"/>
    <w:rsid w:val="9DE77505"/>
    <w:rsid w:val="9EBFB378"/>
    <w:rsid w:val="9EDA1E71"/>
    <w:rsid w:val="9EF6B267"/>
    <w:rsid w:val="9EFEB917"/>
    <w:rsid w:val="9F3F6369"/>
    <w:rsid w:val="9F5EA324"/>
    <w:rsid w:val="9F769C55"/>
    <w:rsid w:val="9F8E9C03"/>
    <w:rsid w:val="9FA14E1A"/>
    <w:rsid w:val="9FA7410C"/>
    <w:rsid w:val="9FB29553"/>
    <w:rsid w:val="9FEB108D"/>
    <w:rsid w:val="A1EC3F5B"/>
    <w:rsid w:val="A4B1B6E1"/>
    <w:rsid w:val="A62505F3"/>
    <w:rsid w:val="A7BFC6EF"/>
    <w:rsid w:val="A7BFE751"/>
    <w:rsid w:val="A7F7F8D2"/>
    <w:rsid w:val="A7FECB9C"/>
    <w:rsid w:val="A7FF3963"/>
    <w:rsid w:val="A8FE74ED"/>
    <w:rsid w:val="AAE88F9D"/>
    <w:rsid w:val="AAF0F314"/>
    <w:rsid w:val="AB77C5B0"/>
    <w:rsid w:val="ABFF9475"/>
    <w:rsid w:val="AC1B5F83"/>
    <w:rsid w:val="ACAD73B5"/>
    <w:rsid w:val="ACBB8AE0"/>
    <w:rsid w:val="AD9D901E"/>
    <w:rsid w:val="ADA7499C"/>
    <w:rsid w:val="ADDEA8AB"/>
    <w:rsid w:val="AEB6EDFD"/>
    <w:rsid w:val="AEDE7F0E"/>
    <w:rsid w:val="AF56B617"/>
    <w:rsid w:val="AF6F3953"/>
    <w:rsid w:val="AF76D51E"/>
    <w:rsid w:val="AF7704C3"/>
    <w:rsid w:val="AF7CFD58"/>
    <w:rsid w:val="AFDF0060"/>
    <w:rsid w:val="AFEF90F0"/>
    <w:rsid w:val="AFFBC13D"/>
    <w:rsid w:val="AFFDB41C"/>
    <w:rsid w:val="AFFF4DB9"/>
    <w:rsid w:val="AFFFDFA4"/>
    <w:rsid w:val="B03D8144"/>
    <w:rsid w:val="B1F710F2"/>
    <w:rsid w:val="B3DE0891"/>
    <w:rsid w:val="B3EF9651"/>
    <w:rsid w:val="B3FF5F58"/>
    <w:rsid w:val="B5EA0D85"/>
    <w:rsid w:val="B5EEBA95"/>
    <w:rsid w:val="B66E693B"/>
    <w:rsid w:val="B6BFEA51"/>
    <w:rsid w:val="B6DBA0AC"/>
    <w:rsid w:val="B6E7AC3C"/>
    <w:rsid w:val="B7389C93"/>
    <w:rsid w:val="B76F7968"/>
    <w:rsid w:val="B773EF2E"/>
    <w:rsid w:val="B7A0B6AF"/>
    <w:rsid w:val="B7A7858B"/>
    <w:rsid w:val="B7BA4E54"/>
    <w:rsid w:val="B7BDC1F1"/>
    <w:rsid w:val="B7BF9E1D"/>
    <w:rsid w:val="B7D36A3C"/>
    <w:rsid w:val="B7DD0FE5"/>
    <w:rsid w:val="B7DF451E"/>
    <w:rsid w:val="B7EFEA84"/>
    <w:rsid w:val="B7F7BF4E"/>
    <w:rsid w:val="B7FD6D19"/>
    <w:rsid w:val="B7FF432A"/>
    <w:rsid w:val="B87E3A1E"/>
    <w:rsid w:val="B9350645"/>
    <w:rsid w:val="B93F38E6"/>
    <w:rsid w:val="B97DA97A"/>
    <w:rsid w:val="B9EA3615"/>
    <w:rsid w:val="B9F281EC"/>
    <w:rsid w:val="BABF123A"/>
    <w:rsid w:val="BACF8C15"/>
    <w:rsid w:val="BADB5677"/>
    <w:rsid w:val="BAFDC020"/>
    <w:rsid w:val="BAFED72C"/>
    <w:rsid w:val="BAFEE19F"/>
    <w:rsid w:val="BAFF4DDC"/>
    <w:rsid w:val="BBAE19AC"/>
    <w:rsid w:val="BBB99F84"/>
    <w:rsid w:val="BBFE736F"/>
    <w:rsid w:val="BBFFD90C"/>
    <w:rsid w:val="BC2B3630"/>
    <w:rsid w:val="BCEF32BF"/>
    <w:rsid w:val="BCF7AA1A"/>
    <w:rsid w:val="BD5A8738"/>
    <w:rsid w:val="BD8D4A11"/>
    <w:rsid w:val="BDBBB718"/>
    <w:rsid w:val="BDCD038F"/>
    <w:rsid w:val="BDF330A5"/>
    <w:rsid w:val="BDFBE6FC"/>
    <w:rsid w:val="BDFF0F2A"/>
    <w:rsid w:val="BDFFF7C5"/>
    <w:rsid w:val="BE25D789"/>
    <w:rsid w:val="BEDBD317"/>
    <w:rsid w:val="BEF3863F"/>
    <w:rsid w:val="BEFDE37B"/>
    <w:rsid w:val="BEFF03F4"/>
    <w:rsid w:val="BEFF43BB"/>
    <w:rsid w:val="BEFFAD5D"/>
    <w:rsid w:val="BF1F3B8D"/>
    <w:rsid w:val="BF69DC90"/>
    <w:rsid w:val="BF76F226"/>
    <w:rsid w:val="BF7E4AB9"/>
    <w:rsid w:val="BF7FC31D"/>
    <w:rsid w:val="BFBBB1DB"/>
    <w:rsid w:val="BFC7DFB4"/>
    <w:rsid w:val="BFD70E67"/>
    <w:rsid w:val="BFDF653D"/>
    <w:rsid w:val="BFDF9949"/>
    <w:rsid w:val="BFEBEE62"/>
    <w:rsid w:val="BFEF9655"/>
    <w:rsid w:val="BFEF9C4D"/>
    <w:rsid w:val="BFF51464"/>
    <w:rsid w:val="BFF7D864"/>
    <w:rsid w:val="BFFB0968"/>
    <w:rsid w:val="BFFDB74F"/>
    <w:rsid w:val="BFFE75C0"/>
    <w:rsid w:val="BFFEFD25"/>
    <w:rsid w:val="BFFF4743"/>
    <w:rsid w:val="C3B7EA85"/>
    <w:rsid w:val="C50F7D32"/>
    <w:rsid w:val="C5EB79B9"/>
    <w:rsid w:val="C77FB531"/>
    <w:rsid w:val="C79B4453"/>
    <w:rsid w:val="C7BED0CF"/>
    <w:rsid w:val="C7DFB57A"/>
    <w:rsid w:val="C7FC8BCB"/>
    <w:rsid w:val="C7FF84D9"/>
    <w:rsid w:val="C7FFB553"/>
    <w:rsid w:val="C9771FB4"/>
    <w:rsid w:val="CA7EC073"/>
    <w:rsid w:val="CBBD6E0F"/>
    <w:rsid w:val="CBFE6196"/>
    <w:rsid w:val="CCFEF095"/>
    <w:rsid w:val="CE3C19FA"/>
    <w:rsid w:val="CE7F711F"/>
    <w:rsid w:val="CEBF80C0"/>
    <w:rsid w:val="CEEE2EFB"/>
    <w:rsid w:val="CEFFA800"/>
    <w:rsid w:val="CF6FE3CD"/>
    <w:rsid w:val="CF795934"/>
    <w:rsid w:val="CF7D7F31"/>
    <w:rsid w:val="CF939A46"/>
    <w:rsid w:val="CFBDA84E"/>
    <w:rsid w:val="CFD71921"/>
    <w:rsid w:val="CFFE4E26"/>
    <w:rsid w:val="CFFEF01C"/>
    <w:rsid w:val="CFFF1CFF"/>
    <w:rsid w:val="CFFFB13E"/>
    <w:rsid w:val="D17F3906"/>
    <w:rsid w:val="D27D2B3C"/>
    <w:rsid w:val="D2B70BA2"/>
    <w:rsid w:val="D2DF8A3C"/>
    <w:rsid w:val="D55FAB0F"/>
    <w:rsid w:val="D5CE11E1"/>
    <w:rsid w:val="D5DEEA9B"/>
    <w:rsid w:val="D5DFE2D0"/>
    <w:rsid w:val="D5EB019F"/>
    <w:rsid w:val="D5FB0F16"/>
    <w:rsid w:val="D5FFC5CF"/>
    <w:rsid w:val="D65FFA4D"/>
    <w:rsid w:val="D6DD2E80"/>
    <w:rsid w:val="D6DFFEE6"/>
    <w:rsid w:val="D6EB5ACF"/>
    <w:rsid w:val="D751709B"/>
    <w:rsid w:val="D7BE9B41"/>
    <w:rsid w:val="D7DB5488"/>
    <w:rsid w:val="D7EAE8D3"/>
    <w:rsid w:val="D7F30922"/>
    <w:rsid w:val="D7FEDE12"/>
    <w:rsid w:val="D8C5CD75"/>
    <w:rsid w:val="D9391C6B"/>
    <w:rsid w:val="D9EDDCDF"/>
    <w:rsid w:val="D9FEC899"/>
    <w:rsid w:val="DA65F8BB"/>
    <w:rsid w:val="DA6E0766"/>
    <w:rsid w:val="DB7FD652"/>
    <w:rsid w:val="DBD7ED59"/>
    <w:rsid w:val="DBE53572"/>
    <w:rsid w:val="DBFF6829"/>
    <w:rsid w:val="DCA590A3"/>
    <w:rsid w:val="DCED4FA7"/>
    <w:rsid w:val="DCF23D52"/>
    <w:rsid w:val="DD9E59D1"/>
    <w:rsid w:val="DDAF8D9F"/>
    <w:rsid w:val="DDBFB3C9"/>
    <w:rsid w:val="DDD77279"/>
    <w:rsid w:val="DDDB9654"/>
    <w:rsid w:val="DDFE2B58"/>
    <w:rsid w:val="DDFF00FC"/>
    <w:rsid w:val="DE6722B8"/>
    <w:rsid w:val="DE6FD1DC"/>
    <w:rsid w:val="DEF33C7A"/>
    <w:rsid w:val="DEFFDA7B"/>
    <w:rsid w:val="DF353A83"/>
    <w:rsid w:val="DF3CA989"/>
    <w:rsid w:val="DF3DB21E"/>
    <w:rsid w:val="DF5FCB27"/>
    <w:rsid w:val="DF5FE764"/>
    <w:rsid w:val="DF6793CE"/>
    <w:rsid w:val="DF7387BA"/>
    <w:rsid w:val="DF7FC21B"/>
    <w:rsid w:val="DF9C0DCC"/>
    <w:rsid w:val="DF9F851F"/>
    <w:rsid w:val="DFA4829C"/>
    <w:rsid w:val="DFB39351"/>
    <w:rsid w:val="DFBFD850"/>
    <w:rsid w:val="DFCFF8EA"/>
    <w:rsid w:val="DFDA4BAF"/>
    <w:rsid w:val="DFDC32FA"/>
    <w:rsid w:val="DFDF8CC8"/>
    <w:rsid w:val="DFEE6D93"/>
    <w:rsid w:val="DFFEBDB0"/>
    <w:rsid w:val="DFFEF09F"/>
    <w:rsid w:val="DFFFC95C"/>
    <w:rsid w:val="E379306B"/>
    <w:rsid w:val="E37F5866"/>
    <w:rsid w:val="E3F13CDC"/>
    <w:rsid w:val="E56154C3"/>
    <w:rsid w:val="E5AF1758"/>
    <w:rsid w:val="E5EFCE14"/>
    <w:rsid w:val="E5F3B4CC"/>
    <w:rsid w:val="E5FF6E08"/>
    <w:rsid w:val="E665674C"/>
    <w:rsid w:val="E6CECA71"/>
    <w:rsid w:val="E6FE0A56"/>
    <w:rsid w:val="E70FE40F"/>
    <w:rsid w:val="E7795678"/>
    <w:rsid w:val="E7BE2959"/>
    <w:rsid w:val="E7BE699D"/>
    <w:rsid w:val="E7BF1508"/>
    <w:rsid w:val="E7D1FD59"/>
    <w:rsid w:val="E7DF21A4"/>
    <w:rsid w:val="E7E67A5A"/>
    <w:rsid w:val="E7F3CE43"/>
    <w:rsid w:val="E7F6258F"/>
    <w:rsid w:val="E7FF507E"/>
    <w:rsid w:val="E8B50225"/>
    <w:rsid w:val="EA67BF71"/>
    <w:rsid w:val="EA6C574E"/>
    <w:rsid w:val="EB7F376C"/>
    <w:rsid w:val="EB861CA0"/>
    <w:rsid w:val="EBBD7521"/>
    <w:rsid w:val="EBBD7D72"/>
    <w:rsid w:val="EBBFED5E"/>
    <w:rsid w:val="EBDE0E8E"/>
    <w:rsid w:val="EBDE1B70"/>
    <w:rsid w:val="EBED9A15"/>
    <w:rsid w:val="EBF0D8FF"/>
    <w:rsid w:val="EBF58B0F"/>
    <w:rsid w:val="EBF5D127"/>
    <w:rsid w:val="EBF5F085"/>
    <w:rsid w:val="EBFDE898"/>
    <w:rsid w:val="EBFF3FF4"/>
    <w:rsid w:val="EBFFB926"/>
    <w:rsid w:val="EC3B5CC6"/>
    <w:rsid w:val="ECCBB488"/>
    <w:rsid w:val="ECEFA75C"/>
    <w:rsid w:val="EDB5E7A4"/>
    <w:rsid w:val="EDDA1D61"/>
    <w:rsid w:val="EDF1CE1F"/>
    <w:rsid w:val="EDF28685"/>
    <w:rsid w:val="EDFCF58F"/>
    <w:rsid w:val="EDFDC27C"/>
    <w:rsid w:val="EDFF36E8"/>
    <w:rsid w:val="EDFF3AFC"/>
    <w:rsid w:val="EE5B5117"/>
    <w:rsid w:val="EEA30714"/>
    <w:rsid w:val="EEF335D3"/>
    <w:rsid w:val="EEF82C79"/>
    <w:rsid w:val="EEF9A49B"/>
    <w:rsid w:val="EEFB2A14"/>
    <w:rsid w:val="EEFE386A"/>
    <w:rsid w:val="EEFF3D6C"/>
    <w:rsid w:val="EF279C94"/>
    <w:rsid w:val="EF5D8B79"/>
    <w:rsid w:val="EF6FC82B"/>
    <w:rsid w:val="EF778FDB"/>
    <w:rsid w:val="EF7B0365"/>
    <w:rsid w:val="EF7F2CEA"/>
    <w:rsid w:val="EF825C34"/>
    <w:rsid w:val="EF9B633B"/>
    <w:rsid w:val="EF9FC208"/>
    <w:rsid w:val="EFB53DD3"/>
    <w:rsid w:val="EFB64C93"/>
    <w:rsid w:val="EFBD7D66"/>
    <w:rsid w:val="EFBFA66A"/>
    <w:rsid w:val="EFDF27EF"/>
    <w:rsid w:val="EFDF37F9"/>
    <w:rsid w:val="EFDFDB5C"/>
    <w:rsid w:val="EFE468F9"/>
    <w:rsid w:val="EFF7E993"/>
    <w:rsid w:val="EFFAF8DD"/>
    <w:rsid w:val="EFFDB0C6"/>
    <w:rsid w:val="EFFDC302"/>
    <w:rsid w:val="EFFDDC52"/>
    <w:rsid w:val="EFFE0B9A"/>
    <w:rsid w:val="EFFF3964"/>
    <w:rsid w:val="EFFF3A13"/>
    <w:rsid w:val="EFFFDE17"/>
    <w:rsid w:val="F0F7B503"/>
    <w:rsid w:val="F0F7FBD7"/>
    <w:rsid w:val="F259A2BF"/>
    <w:rsid w:val="F2BFFFEC"/>
    <w:rsid w:val="F37DF1E0"/>
    <w:rsid w:val="F37E209F"/>
    <w:rsid w:val="F39F19C7"/>
    <w:rsid w:val="F3DD72B4"/>
    <w:rsid w:val="F3DD775A"/>
    <w:rsid w:val="F3F559A1"/>
    <w:rsid w:val="F3FF547C"/>
    <w:rsid w:val="F4FBC112"/>
    <w:rsid w:val="F4FF4F00"/>
    <w:rsid w:val="F5B7AF0A"/>
    <w:rsid w:val="F5EB57B3"/>
    <w:rsid w:val="F5FA6076"/>
    <w:rsid w:val="F5FB79CA"/>
    <w:rsid w:val="F5FBCF1D"/>
    <w:rsid w:val="F5FD5117"/>
    <w:rsid w:val="F5FD7CC6"/>
    <w:rsid w:val="F5FFDF00"/>
    <w:rsid w:val="F6621486"/>
    <w:rsid w:val="F67E8FFB"/>
    <w:rsid w:val="F6B3B05C"/>
    <w:rsid w:val="F6BFEA9C"/>
    <w:rsid w:val="F6F3C80C"/>
    <w:rsid w:val="F6FACDAA"/>
    <w:rsid w:val="F6FB9939"/>
    <w:rsid w:val="F6FD23AF"/>
    <w:rsid w:val="F6FF554C"/>
    <w:rsid w:val="F71F9D21"/>
    <w:rsid w:val="F73FC0D1"/>
    <w:rsid w:val="F75E1F7F"/>
    <w:rsid w:val="F773E6ED"/>
    <w:rsid w:val="F777D5DC"/>
    <w:rsid w:val="F77FFFB1"/>
    <w:rsid w:val="F79C2DC7"/>
    <w:rsid w:val="F7D09DB4"/>
    <w:rsid w:val="F7DB3C48"/>
    <w:rsid w:val="F7E75335"/>
    <w:rsid w:val="F7EF60E7"/>
    <w:rsid w:val="F7F52AFB"/>
    <w:rsid w:val="F7F59927"/>
    <w:rsid w:val="F7F5B1E4"/>
    <w:rsid w:val="F7F6A6F6"/>
    <w:rsid w:val="F7F702F6"/>
    <w:rsid w:val="F7F728CC"/>
    <w:rsid w:val="F7FB9DD0"/>
    <w:rsid w:val="F7FBAD44"/>
    <w:rsid w:val="F7FBEB54"/>
    <w:rsid w:val="F7FC9EB1"/>
    <w:rsid w:val="F7FDEA3F"/>
    <w:rsid w:val="F7FF43F6"/>
    <w:rsid w:val="F7FF4B7B"/>
    <w:rsid w:val="F7FF9C56"/>
    <w:rsid w:val="F7FFF0F1"/>
    <w:rsid w:val="F975E632"/>
    <w:rsid w:val="F9777CF9"/>
    <w:rsid w:val="F97D9D94"/>
    <w:rsid w:val="F98F1746"/>
    <w:rsid w:val="F9BB93F1"/>
    <w:rsid w:val="F9BEC97E"/>
    <w:rsid w:val="F9FB6880"/>
    <w:rsid w:val="F9FDD50E"/>
    <w:rsid w:val="FA6790B9"/>
    <w:rsid w:val="FA7EA386"/>
    <w:rsid w:val="FA9C9108"/>
    <w:rsid w:val="FA9F3E24"/>
    <w:rsid w:val="FABDB972"/>
    <w:rsid w:val="FABE8518"/>
    <w:rsid w:val="FAEF9FD2"/>
    <w:rsid w:val="FAF2B900"/>
    <w:rsid w:val="FAF67519"/>
    <w:rsid w:val="FAFD6412"/>
    <w:rsid w:val="FB6B3C60"/>
    <w:rsid w:val="FB77E3F3"/>
    <w:rsid w:val="FB7CBA76"/>
    <w:rsid w:val="FB7F648A"/>
    <w:rsid w:val="FB873339"/>
    <w:rsid w:val="FB9F1F29"/>
    <w:rsid w:val="FBB7AEB8"/>
    <w:rsid w:val="FBBCA8DE"/>
    <w:rsid w:val="FBBD0B0D"/>
    <w:rsid w:val="FBCD8DFB"/>
    <w:rsid w:val="FBCF4007"/>
    <w:rsid w:val="FBDE7E6F"/>
    <w:rsid w:val="FBF3538D"/>
    <w:rsid w:val="FBF57B83"/>
    <w:rsid w:val="FBF64A81"/>
    <w:rsid w:val="FBF8C9F4"/>
    <w:rsid w:val="FBF926EA"/>
    <w:rsid w:val="FBFB9257"/>
    <w:rsid w:val="FBFDAECB"/>
    <w:rsid w:val="FBFE2FA7"/>
    <w:rsid w:val="FC7F8C29"/>
    <w:rsid w:val="FCA531CC"/>
    <w:rsid w:val="FCDD7341"/>
    <w:rsid w:val="FCEE42F9"/>
    <w:rsid w:val="FD692EB2"/>
    <w:rsid w:val="FD95DBF9"/>
    <w:rsid w:val="FD977E7B"/>
    <w:rsid w:val="FD9D7A18"/>
    <w:rsid w:val="FDA7B239"/>
    <w:rsid w:val="FDAF3A46"/>
    <w:rsid w:val="FDB5DF85"/>
    <w:rsid w:val="FDBD5C88"/>
    <w:rsid w:val="FDBE2877"/>
    <w:rsid w:val="FDBF86A1"/>
    <w:rsid w:val="FDCEC42D"/>
    <w:rsid w:val="FDDD0215"/>
    <w:rsid w:val="FDF71A8B"/>
    <w:rsid w:val="FDF97D80"/>
    <w:rsid w:val="FDFB9516"/>
    <w:rsid w:val="FDFD86F0"/>
    <w:rsid w:val="FDFE1537"/>
    <w:rsid w:val="FDFF04BC"/>
    <w:rsid w:val="FDFF57E2"/>
    <w:rsid w:val="FDFFF5A6"/>
    <w:rsid w:val="FE6B7305"/>
    <w:rsid w:val="FE7707D3"/>
    <w:rsid w:val="FEBD56DC"/>
    <w:rsid w:val="FECF5772"/>
    <w:rsid w:val="FEDF8E95"/>
    <w:rsid w:val="FEDFD7B1"/>
    <w:rsid w:val="FEF37CB2"/>
    <w:rsid w:val="FEFA886D"/>
    <w:rsid w:val="FEFBB7A0"/>
    <w:rsid w:val="FEFBD502"/>
    <w:rsid w:val="FEFCED08"/>
    <w:rsid w:val="FEFD67CC"/>
    <w:rsid w:val="FEFEA3EF"/>
    <w:rsid w:val="FEFF07B8"/>
    <w:rsid w:val="FEFFFEBC"/>
    <w:rsid w:val="FF2C5141"/>
    <w:rsid w:val="FF3EBEC2"/>
    <w:rsid w:val="FF4F69EF"/>
    <w:rsid w:val="FF5BA941"/>
    <w:rsid w:val="FF5D4017"/>
    <w:rsid w:val="FF66FFC5"/>
    <w:rsid w:val="FF6E2E2E"/>
    <w:rsid w:val="FF6E6BD5"/>
    <w:rsid w:val="FF772975"/>
    <w:rsid w:val="FF7BD6C4"/>
    <w:rsid w:val="FF7F0A44"/>
    <w:rsid w:val="FF9719BC"/>
    <w:rsid w:val="FFA7AA69"/>
    <w:rsid w:val="FFAF6DD2"/>
    <w:rsid w:val="FFB3BDA1"/>
    <w:rsid w:val="FFB87ABC"/>
    <w:rsid w:val="FFBBFE26"/>
    <w:rsid w:val="FFBC7D9F"/>
    <w:rsid w:val="FFBF99D9"/>
    <w:rsid w:val="FFC94486"/>
    <w:rsid w:val="FFCB468C"/>
    <w:rsid w:val="FFD28FA2"/>
    <w:rsid w:val="FFD5ED1B"/>
    <w:rsid w:val="FFDB1B76"/>
    <w:rsid w:val="FFDC7C8B"/>
    <w:rsid w:val="FFDF241D"/>
    <w:rsid w:val="FFDF2883"/>
    <w:rsid w:val="FFDF45AE"/>
    <w:rsid w:val="FFE19C87"/>
    <w:rsid w:val="FFE24CDE"/>
    <w:rsid w:val="FFE9F019"/>
    <w:rsid w:val="FFEB73C6"/>
    <w:rsid w:val="FFED6D8F"/>
    <w:rsid w:val="FFEDB3BB"/>
    <w:rsid w:val="FFEF21D7"/>
    <w:rsid w:val="FFEF6982"/>
    <w:rsid w:val="FFEFF989"/>
    <w:rsid w:val="FFF16F5A"/>
    <w:rsid w:val="FFF1BEED"/>
    <w:rsid w:val="FFF34CC7"/>
    <w:rsid w:val="FFF65B75"/>
    <w:rsid w:val="FFF71F73"/>
    <w:rsid w:val="FFF7B690"/>
    <w:rsid w:val="FFFAA5E6"/>
    <w:rsid w:val="FFFBE74E"/>
    <w:rsid w:val="FFFCB0CB"/>
    <w:rsid w:val="FFFD3CDD"/>
    <w:rsid w:val="FFFD7127"/>
    <w:rsid w:val="FFFDAF9E"/>
    <w:rsid w:val="FFFDD3AC"/>
    <w:rsid w:val="FFFDFB1B"/>
    <w:rsid w:val="FFFE698E"/>
    <w:rsid w:val="FFFF2516"/>
    <w:rsid w:val="FFFF834A"/>
    <w:rsid w:val="FFFF8DE9"/>
    <w:rsid w:val="FFFF90C9"/>
    <w:rsid w:val="FFFFA10F"/>
    <w:rsid w:val="FFFFD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99" w:semiHidden="0" w:name="page number"/>
    <w:lsdException w:qFormat="1" w:uiPriority="99"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iPriority="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34"/>
    <w:qFormat/>
    <w:uiPriority w:val="0"/>
    <w:pPr>
      <w:keepNext/>
      <w:keepLines/>
      <w:spacing w:before="340" w:after="260" w:line="360" w:lineRule="auto"/>
      <w:jc w:val="center"/>
      <w:outlineLvl w:val="0"/>
    </w:pPr>
    <w:rPr>
      <w:rFonts w:ascii="黑体" w:hAnsi="黑体" w:eastAsia="黑体"/>
      <w:b/>
      <w:bCs/>
      <w:kern w:val="44"/>
      <w:sz w:val="36"/>
      <w:szCs w:val="36"/>
    </w:rPr>
  </w:style>
  <w:style w:type="paragraph" w:styleId="3">
    <w:name w:val="heading 2"/>
    <w:basedOn w:val="1"/>
    <w:next w:val="1"/>
    <w:link w:val="6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7"/>
    <w:unhideWhenUsed/>
    <w:qFormat/>
    <w:uiPriority w:val="0"/>
    <w:pPr>
      <w:keepNext/>
      <w:keepLines/>
      <w:spacing w:before="260" w:after="260" w:line="416" w:lineRule="auto"/>
      <w:outlineLvl w:val="2"/>
    </w:pPr>
    <w:rPr>
      <w:b/>
      <w:bCs/>
      <w:sz w:val="32"/>
      <w:szCs w:val="32"/>
    </w:rPr>
  </w:style>
  <w:style w:type="character" w:default="1" w:styleId="25">
    <w:name w:val="Default Paragraph Font"/>
    <w:semiHidden/>
    <w:unhideWhenUsed/>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qFormat/>
    <w:uiPriority w:val="0"/>
    <w:pPr>
      <w:ind w:left="1440"/>
    </w:pPr>
  </w:style>
  <w:style w:type="paragraph" w:styleId="6">
    <w:name w:val="annotation text"/>
    <w:basedOn w:val="1"/>
    <w:link w:val="41"/>
    <w:unhideWhenUsed/>
    <w:qFormat/>
    <w:uiPriority w:val="99"/>
    <w:pPr>
      <w:widowControl w:val="0"/>
    </w:pPr>
    <w:rPr>
      <w:rFonts w:ascii="Times New Roman" w:hAnsi="Times New Roman" w:cs="Times New Roman"/>
      <w:kern w:val="2"/>
      <w:sz w:val="21"/>
      <w:szCs w:val="22"/>
    </w:rPr>
  </w:style>
  <w:style w:type="paragraph" w:styleId="7">
    <w:name w:val="Body Text"/>
    <w:link w:val="36"/>
    <w:qFormat/>
    <w:uiPriority w:val="0"/>
    <w:pPr>
      <w:jc w:val="center"/>
    </w:pPr>
    <w:rPr>
      <w:rFonts w:ascii="Times New Roman" w:hAnsi="Times New Roman" w:eastAsia="宋体" w:cs="Times New Roman"/>
      <w:sz w:val="44"/>
      <w:lang w:val="en-US" w:eastAsia="zh-CN" w:bidi="ar-SA"/>
    </w:rPr>
  </w:style>
  <w:style w:type="paragraph" w:styleId="8">
    <w:name w:val="toc 5"/>
    <w:basedOn w:val="1"/>
    <w:next w:val="1"/>
    <w:qFormat/>
    <w:uiPriority w:val="0"/>
    <w:pPr>
      <w:ind w:left="960"/>
    </w:pPr>
  </w:style>
  <w:style w:type="paragraph" w:styleId="9">
    <w:name w:val="toc 3"/>
    <w:basedOn w:val="1"/>
    <w:next w:val="1"/>
    <w:qFormat/>
    <w:uiPriority w:val="0"/>
    <w:pPr>
      <w:ind w:left="480"/>
    </w:pPr>
  </w:style>
  <w:style w:type="paragraph" w:styleId="10">
    <w:name w:val="toc 8"/>
    <w:basedOn w:val="1"/>
    <w:next w:val="1"/>
    <w:qFormat/>
    <w:uiPriority w:val="0"/>
    <w:pPr>
      <w:ind w:left="1680"/>
    </w:pPr>
  </w:style>
  <w:style w:type="paragraph" w:styleId="11">
    <w:name w:val="Date"/>
    <w:basedOn w:val="1"/>
    <w:next w:val="1"/>
    <w:link w:val="35"/>
    <w:qFormat/>
    <w:uiPriority w:val="0"/>
    <w:pPr>
      <w:ind w:left="100" w:leftChars="2500"/>
    </w:pPr>
  </w:style>
  <w:style w:type="paragraph" w:styleId="12">
    <w:name w:val="endnote text"/>
    <w:basedOn w:val="1"/>
    <w:link w:val="42"/>
    <w:unhideWhenUsed/>
    <w:qFormat/>
    <w:uiPriority w:val="99"/>
    <w:pPr>
      <w:widowControl w:val="0"/>
      <w:snapToGrid w:val="0"/>
    </w:pPr>
    <w:rPr>
      <w:rFonts w:ascii="等线" w:hAnsi="等线" w:eastAsia="等线" w:cs="Times New Roman"/>
      <w:kern w:val="2"/>
      <w:sz w:val="21"/>
      <w:szCs w:val="22"/>
    </w:rPr>
  </w:style>
  <w:style w:type="paragraph" w:styleId="13">
    <w:name w:val="Balloon Text"/>
    <w:basedOn w:val="1"/>
    <w:link w:val="40"/>
    <w:qFormat/>
    <w:uiPriority w:val="99"/>
    <w:rPr>
      <w:sz w:val="18"/>
      <w:szCs w:val="18"/>
    </w:rPr>
  </w:style>
  <w:style w:type="paragraph" w:styleId="14">
    <w:name w:val="footer"/>
    <w:basedOn w:val="1"/>
    <w:link w:val="39"/>
    <w:qFormat/>
    <w:uiPriority w:val="99"/>
    <w:pPr>
      <w:tabs>
        <w:tab w:val="center" w:pos="4153"/>
        <w:tab w:val="right" w:pos="8306"/>
      </w:tabs>
      <w:snapToGrid w:val="0"/>
    </w:pPr>
    <w:rPr>
      <w:sz w:val="18"/>
      <w:szCs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rFonts w:ascii="DejaVu Sans" w:hAnsi="DejaVu Sans"/>
      <w:sz w:val="18"/>
    </w:rPr>
  </w:style>
  <w:style w:type="paragraph" w:styleId="16">
    <w:name w:val="toc 1"/>
    <w:basedOn w:val="1"/>
    <w:next w:val="1"/>
    <w:qFormat/>
    <w:uiPriority w:val="39"/>
  </w:style>
  <w:style w:type="paragraph" w:styleId="17">
    <w:name w:val="toc 4"/>
    <w:basedOn w:val="1"/>
    <w:next w:val="1"/>
    <w:qFormat/>
    <w:uiPriority w:val="0"/>
    <w:pPr>
      <w:ind w:left="720"/>
    </w:pPr>
  </w:style>
  <w:style w:type="paragraph" w:styleId="18">
    <w:name w:val="toc 6"/>
    <w:basedOn w:val="1"/>
    <w:next w:val="1"/>
    <w:qFormat/>
    <w:uiPriority w:val="0"/>
    <w:pPr>
      <w:ind w:left="1200"/>
    </w:pPr>
  </w:style>
  <w:style w:type="paragraph" w:styleId="19">
    <w:name w:val="toc 2"/>
    <w:basedOn w:val="1"/>
    <w:next w:val="1"/>
    <w:qFormat/>
    <w:uiPriority w:val="39"/>
    <w:pPr>
      <w:ind w:left="240"/>
    </w:pPr>
  </w:style>
  <w:style w:type="paragraph" w:styleId="20">
    <w:name w:val="toc 9"/>
    <w:basedOn w:val="1"/>
    <w:next w:val="1"/>
    <w:qFormat/>
    <w:uiPriority w:val="0"/>
    <w:pPr>
      <w:ind w:left="1920"/>
    </w:pPr>
  </w:style>
  <w:style w:type="paragraph" w:styleId="21">
    <w:name w:val="Normal (Web)"/>
    <w:basedOn w:val="1"/>
    <w:qFormat/>
    <w:uiPriority w:val="99"/>
    <w:rPr>
      <w:rFonts w:ascii="Times New Roman" w:hAnsi="Times New Roman" w:cs="Times New Roman"/>
    </w:rPr>
  </w:style>
  <w:style w:type="paragraph" w:styleId="22">
    <w:name w:val="annotation subject"/>
    <w:basedOn w:val="6"/>
    <w:next w:val="6"/>
    <w:link w:val="53"/>
    <w:unhideWhenUsed/>
    <w:qFormat/>
    <w:uiPriority w:val="99"/>
    <w:rPr>
      <w:b/>
      <w:bCs/>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22"/>
    <w:rPr>
      <w:b/>
      <w:bCs/>
    </w:rPr>
  </w:style>
  <w:style w:type="character" w:styleId="27">
    <w:name w:val="endnote reference"/>
    <w:unhideWhenUsed/>
    <w:qFormat/>
    <w:uiPriority w:val="99"/>
    <w:rPr>
      <w:vertAlign w:val="superscript"/>
    </w:rPr>
  </w:style>
  <w:style w:type="character" w:styleId="28">
    <w:name w:val="page number"/>
    <w:basedOn w:val="25"/>
    <w:qFormat/>
    <w:uiPriority w:val="99"/>
  </w:style>
  <w:style w:type="character" w:styleId="29">
    <w:name w:val="Emphasis"/>
    <w:basedOn w:val="25"/>
    <w:qFormat/>
    <w:uiPriority w:val="20"/>
    <w:rPr>
      <w:i/>
      <w:iCs/>
    </w:rPr>
  </w:style>
  <w:style w:type="character" w:styleId="30">
    <w:name w:val="Hyperlink"/>
    <w:basedOn w:val="25"/>
    <w:qFormat/>
    <w:uiPriority w:val="99"/>
    <w:rPr>
      <w:color w:val="0563C1" w:themeColor="hyperlink"/>
      <w:u w:val="single"/>
      <w14:textFill>
        <w14:solidFill>
          <w14:schemeClr w14:val="hlink"/>
        </w14:solidFill>
      </w14:textFill>
    </w:rPr>
  </w:style>
  <w:style w:type="character" w:styleId="31">
    <w:name w:val="annotation reference"/>
    <w:unhideWhenUsed/>
    <w:qFormat/>
    <w:uiPriority w:val="99"/>
    <w:rPr>
      <w:sz w:val="21"/>
      <w:szCs w:val="21"/>
    </w:rPr>
  </w:style>
  <w:style w:type="paragraph" w:customStyle="1" w:styleId="32">
    <w:name w:val="列表段落1"/>
    <w:basedOn w:val="1"/>
    <w:qFormat/>
    <w:uiPriority w:val="0"/>
    <w:pPr>
      <w:widowControl w:val="0"/>
      <w:ind w:firstLine="420" w:firstLineChars="200"/>
      <w:jc w:val="both"/>
    </w:pPr>
    <w:rPr>
      <w:rFonts w:asciiTheme="minorHAnsi" w:hAnsiTheme="minorHAnsi" w:eastAsiaTheme="minorEastAsia" w:cstheme="minorBidi"/>
      <w:kern w:val="2"/>
      <w:sz w:val="21"/>
      <w:szCs w:val="22"/>
    </w:rPr>
  </w:style>
  <w:style w:type="character" w:customStyle="1" w:styleId="33">
    <w:name w:val="apple-converted-space"/>
    <w:basedOn w:val="25"/>
    <w:qFormat/>
    <w:uiPriority w:val="0"/>
  </w:style>
  <w:style w:type="character" w:customStyle="1" w:styleId="34">
    <w:name w:val="标题 1字符"/>
    <w:basedOn w:val="25"/>
    <w:link w:val="2"/>
    <w:qFormat/>
    <w:uiPriority w:val="0"/>
    <w:rPr>
      <w:rFonts w:ascii="黑体" w:hAnsi="黑体" w:eastAsia="黑体" w:cs="宋体"/>
      <w:b/>
      <w:bCs/>
      <w:kern w:val="44"/>
      <w:sz w:val="36"/>
      <w:szCs w:val="36"/>
    </w:rPr>
  </w:style>
  <w:style w:type="character" w:customStyle="1" w:styleId="35">
    <w:name w:val="日期字符"/>
    <w:basedOn w:val="25"/>
    <w:link w:val="11"/>
    <w:qFormat/>
    <w:uiPriority w:val="0"/>
    <w:rPr>
      <w:rFonts w:ascii="宋体" w:hAnsi="宋体" w:cs="宋体"/>
      <w:sz w:val="24"/>
      <w:szCs w:val="24"/>
    </w:rPr>
  </w:style>
  <w:style w:type="character" w:customStyle="1" w:styleId="36">
    <w:name w:val="正文文本字符"/>
    <w:basedOn w:val="25"/>
    <w:link w:val="7"/>
    <w:qFormat/>
    <w:uiPriority w:val="0"/>
    <w:rPr>
      <w:sz w:val="44"/>
    </w:rPr>
  </w:style>
  <w:style w:type="character" w:customStyle="1" w:styleId="37">
    <w:name w:val="标题 3字符"/>
    <w:basedOn w:val="25"/>
    <w:link w:val="4"/>
    <w:semiHidden/>
    <w:qFormat/>
    <w:uiPriority w:val="0"/>
    <w:rPr>
      <w:rFonts w:ascii="宋体" w:hAnsi="宋体" w:cs="宋体"/>
      <w:b/>
      <w:bCs/>
      <w:sz w:val="32"/>
      <w:szCs w:val="32"/>
    </w:rPr>
  </w:style>
  <w:style w:type="character" w:customStyle="1" w:styleId="38">
    <w:name w:val="未处理的提及1"/>
    <w:basedOn w:val="25"/>
    <w:qFormat/>
    <w:uiPriority w:val="0"/>
    <w:rPr>
      <w:color w:val="605E5C"/>
      <w:shd w:val="clear" w:color="auto" w:fill="E1DFDD"/>
    </w:rPr>
  </w:style>
  <w:style w:type="character" w:customStyle="1" w:styleId="39">
    <w:name w:val="页脚字符"/>
    <w:basedOn w:val="25"/>
    <w:link w:val="14"/>
    <w:qFormat/>
    <w:uiPriority w:val="99"/>
    <w:rPr>
      <w:rFonts w:ascii="宋体" w:hAnsi="宋体" w:cs="宋体"/>
      <w:sz w:val="18"/>
      <w:szCs w:val="18"/>
    </w:rPr>
  </w:style>
  <w:style w:type="character" w:customStyle="1" w:styleId="40">
    <w:name w:val="批注框文本字符"/>
    <w:basedOn w:val="25"/>
    <w:link w:val="13"/>
    <w:qFormat/>
    <w:uiPriority w:val="99"/>
    <w:rPr>
      <w:rFonts w:ascii="宋体" w:hAnsi="宋体" w:cs="宋体"/>
      <w:sz w:val="18"/>
      <w:szCs w:val="18"/>
    </w:rPr>
  </w:style>
  <w:style w:type="character" w:customStyle="1" w:styleId="41">
    <w:name w:val="批注文字字符"/>
    <w:basedOn w:val="25"/>
    <w:link w:val="6"/>
    <w:qFormat/>
    <w:uiPriority w:val="99"/>
    <w:rPr>
      <w:kern w:val="2"/>
      <w:sz w:val="21"/>
      <w:szCs w:val="22"/>
    </w:rPr>
  </w:style>
  <w:style w:type="character" w:customStyle="1" w:styleId="42">
    <w:name w:val="尾注文本字符"/>
    <w:basedOn w:val="25"/>
    <w:link w:val="12"/>
    <w:qFormat/>
    <w:uiPriority w:val="99"/>
    <w:rPr>
      <w:rFonts w:ascii="等线" w:hAnsi="等线" w:eastAsia="等线"/>
      <w:kern w:val="2"/>
      <w:sz w:val="21"/>
      <w:szCs w:val="22"/>
    </w:rPr>
  </w:style>
  <w:style w:type="character" w:customStyle="1" w:styleId="43">
    <w:name w:val="文章三级标题 字符"/>
    <w:link w:val="44"/>
    <w:qFormat/>
    <w:uiPriority w:val="0"/>
    <w:rPr>
      <w:rFonts w:ascii="仿宋" w:hAnsi="仿宋" w:eastAsia="仿宋"/>
      <w:b/>
      <w:kern w:val="2"/>
      <w:sz w:val="28"/>
      <w:szCs w:val="24"/>
    </w:rPr>
  </w:style>
  <w:style w:type="paragraph" w:customStyle="1" w:styleId="44">
    <w:name w:val="文章三级标题"/>
    <w:basedOn w:val="1"/>
    <w:link w:val="43"/>
    <w:qFormat/>
    <w:uiPriority w:val="0"/>
    <w:pPr>
      <w:widowControl w:val="0"/>
      <w:spacing w:before="156" w:beforeLines="50" w:line="360" w:lineRule="auto"/>
      <w:jc w:val="center"/>
      <w:outlineLvl w:val="2"/>
    </w:pPr>
    <w:rPr>
      <w:rFonts w:ascii="仿宋" w:hAnsi="仿宋" w:eastAsia="仿宋" w:cs="Times New Roman"/>
      <w:b/>
      <w:kern w:val="2"/>
      <w:sz w:val="28"/>
    </w:rPr>
  </w:style>
  <w:style w:type="character" w:customStyle="1" w:styleId="45">
    <w:name w:val="文章二级标题 字符"/>
    <w:link w:val="46"/>
    <w:qFormat/>
    <w:uiPriority w:val="0"/>
    <w:rPr>
      <w:rFonts w:eastAsia="黑体"/>
      <w:kern w:val="2"/>
      <w:sz w:val="30"/>
      <w:szCs w:val="24"/>
    </w:rPr>
  </w:style>
  <w:style w:type="paragraph" w:customStyle="1" w:styleId="46">
    <w:name w:val="文章二级标题"/>
    <w:basedOn w:val="1"/>
    <w:link w:val="45"/>
    <w:qFormat/>
    <w:uiPriority w:val="0"/>
    <w:pPr>
      <w:widowControl w:val="0"/>
      <w:snapToGrid w:val="0"/>
      <w:spacing w:line="360" w:lineRule="auto"/>
      <w:contextualSpacing/>
      <w:jc w:val="center"/>
      <w:outlineLvl w:val="1"/>
    </w:pPr>
    <w:rPr>
      <w:rFonts w:ascii="Times New Roman" w:hAnsi="Times New Roman" w:eastAsia="黑体" w:cs="Times New Roman"/>
      <w:kern w:val="2"/>
      <w:sz w:val="30"/>
    </w:rPr>
  </w:style>
  <w:style w:type="character" w:customStyle="1" w:styleId="47">
    <w:name w:val="文章一级标题 字符"/>
    <w:link w:val="48"/>
    <w:qFormat/>
    <w:uiPriority w:val="0"/>
    <w:rPr>
      <w:rFonts w:eastAsia="黑体"/>
      <w:kern w:val="2"/>
      <w:sz w:val="36"/>
      <w:szCs w:val="24"/>
    </w:rPr>
  </w:style>
  <w:style w:type="paragraph" w:customStyle="1" w:styleId="48">
    <w:name w:val="文章一级标题"/>
    <w:basedOn w:val="1"/>
    <w:link w:val="47"/>
    <w:qFormat/>
    <w:uiPriority w:val="0"/>
    <w:pPr>
      <w:widowControl w:val="0"/>
      <w:snapToGrid w:val="0"/>
      <w:spacing w:line="360" w:lineRule="auto"/>
      <w:contextualSpacing/>
      <w:jc w:val="center"/>
      <w:outlineLvl w:val="0"/>
    </w:pPr>
    <w:rPr>
      <w:rFonts w:ascii="Times New Roman" w:hAnsi="Times New Roman" w:eastAsia="黑体" w:cs="Times New Roman"/>
      <w:kern w:val="2"/>
      <w:sz w:val="36"/>
    </w:rPr>
  </w:style>
  <w:style w:type="character" w:customStyle="1" w:styleId="49">
    <w:name w:val="文章四级标题 字符"/>
    <w:link w:val="50"/>
    <w:qFormat/>
    <w:uiPriority w:val="0"/>
    <w:rPr>
      <w:rFonts w:ascii="仿宋" w:hAnsi="仿宋" w:eastAsia="仿宋"/>
      <w:kern w:val="2"/>
      <w:sz w:val="24"/>
      <w:szCs w:val="24"/>
    </w:rPr>
  </w:style>
  <w:style w:type="paragraph" w:customStyle="1" w:styleId="50">
    <w:name w:val="文章四级标题"/>
    <w:basedOn w:val="1"/>
    <w:link w:val="49"/>
    <w:qFormat/>
    <w:uiPriority w:val="0"/>
    <w:pPr>
      <w:widowControl w:val="0"/>
      <w:spacing w:line="360" w:lineRule="auto"/>
      <w:ind w:firstLine="480"/>
      <w:outlineLvl w:val="3"/>
    </w:pPr>
    <w:rPr>
      <w:rFonts w:ascii="仿宋" w:hAnsi="仿宋" w:eastAsia="仿宋" w:cs="Times New Roman"/>
      <w:kern w:val="2"/>
    </w:rPr>
  </w:style>
  <w:style w:type="paragraph" w:customStyle="1" w:styleId="51">
    <w:name w:val="列表段落2"/>
    <w:basedOn w:val="1"/>
    <w:qFormat/>
    <w:uiPriority w:val="34"/>
    <w:pPr>
      <w:widowControl w:val="0"/>
      <w:ind w:firstLine="420" w:firstLineChars="200"/>
      <w:jc w:val="both"/>
    </w:pPr>
    <w:rPr>
      <w:rFonts w:ascii="等线" w:hAnsi="等线" w:eastAsia="等线" w:cs="Times New Roman"/>
      <w:kern w:val="2"/>
      <w:sz w:val="21"/>
    </w:rPr>
  </w:style>
  <w:style w:type="paragraph" w:customStyle="1" w:styleId="52">
    <w:name w:val="列表段落21"/>
    <w:basedOn w:val="1"/>
    <w:qFormat/>
    <w:uiPriority w:val="34"/>
    <w:pPr>
      <w:widowControl w:val="0"/>
      <w:ind w:firstLine="420" w:firstLineChars="200"/>
      <w:jc w:val="both"/>
    </w:pPr>
    <w:rPr>
      <w:rFonts w:ascii="Times New Roman" w:hAnsi="Times New Roman" w:cs="Times New Roman"/>
      <w:kern w:val="2"/>
      <w:sz w:val="21"/>
    </w:rPr>
  </w:style>
  <w:style w:type="character" w:customStyle="1" w:styleId="53">
    <w:name w:val="批注主题字符"/>
    <w:basedOn w:val="41"/>
    <w:link w:val="22"/>
    <w:qFormat/>
    <w:uiPriority w:val="99"/>
    <w:rPr>
      <w:b/>
      <w:bCs/>
      <w:kern w:val="2"/>
      <w:sz w:val="21"/>
      <w:szCs w:val="22"/>
    </w:rPr>
  </w:style>
  <w:style w:type="character" w:customStyle="1" w:styleId="54">
    <w:name w:val="style_kwd"/>
    <w:qFormat/>
    <w:uiPriority w:val="0"/>
  </w:style>
  <w:style w:type="paragraph" w:customStyle="1" w:styleId="55">
    <w:name w:val="through-content"/>
    <w:basedOn w:val="1"/>
    <w:qFormat/>
    <w:uiPriority w:val="0"/>
    <w:pPr>
      <w:spacing w:before="100" w:beforeAutospacing="1" w:after="100" w:afterAutospacing="1"/>
    </w:pPr>
  </w:style>
  <w:style w:type="character" w:customStyle="1" w:styleId="56">
    <w:name w:val="content"/>
    <w:basedOn w:val="25"/>
    <w:qFormat/>
    <w:uiPriority w:val="0"/>
  </w:style>
  <w:style w:type="character" w:customStyle="1" w:styleId="57">
    <w:name w:val="not-selection-area"/>
    <w:basedOn w:val="25"/>
    <w:qFormat/>
    <w:uiPriority w:val="0"/>
  </w:style>
  <w:style w:type="character" w:customStyle="1" w:styleId="58">
    <w:name w:val="exp-art-fullname"/>
    <w:basedOn w:val="25"/>
    <w:qFormat/>
    <w:uiPriority w:val="0"/>
  </w:style>
  <w:style w:type="character" w:customStyle="1" w:styleId="59">
    <w:name w:val="exp-art-des"/>
    <w:basedOn w:val="25"/>
    <w:qFormat/>
    <w:uiPriority w:val="0"/>
  </w:style>
  <w:style w:type="character" w:customStyle="1" w:styleId="60">
    <w:name w:val="search-in-page-highlight-item"/>
    <w:basedOn w:val="25"/>
    <w:qFormat/>
    <w:uiPriority w:val="0"/>
  </w:style>
  <w:style w:type="character" w:customStyle="1" w:styleId="61">
    <w:name w:val="search-in-page-highlight-wrapper"/>
    <w:basedOn w:val="25"/>
    <w:qFormat/>
    <w:uiPriority w:val="0"/>
  </w:style>
  <w:style w:type="paragraph" w:customStyle="1" w:styleId="62">
    <w:name w:val="修订1"/>
    <w:hidden/>
    <w:semiHidden/>
    <w:qFormat/>
    <w:uiPriority w:val="99"/>
    <w:rPr>
      <w:rFonts w:ascii="宋体" w:hAnsi="宋体" w:eastAsia="宋体" w:cs="宋体"/>
      <w:sz w:val="24"/>
      <w:szCs w:val="24"/>
      <w:lang w:val="en-US" w:eastAsia="zh-CN" w:bidi="ar-SA"/>
    </w:rPr>
  </w:style>
  <w:style w:type="character" w:customStyle="1" w:styleId="63">
    <w:name w:val="未处理的提及2"/>
    <w:basedOn w:val="25"/>
    <w:unhideWhenUsed/>
    <w:qFormat/>
    <w:uiPriority w:val="99"/>
    <w:rPr>
      <w:color w:val="605E5C"/>
      <w:shd w:val="clear" w:color="auto" w:fill="E1DFDD"/>
    </w:rPr>
  </w:style>
  <w:style w:type="character" w:customStyle="1" w:styleId="64">
    <w:name w:val="标题 2字符"/>
    <w:basedOn w:val="25"/>
    <w:link w:val="3"/>
    <w:qFormat/>
    <w:uiPriority w:val="0"/>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47</Pages>
  <Words>35779</Words>
  <Characters>36860</Characters>
  <Lines>287</Lines>
  <Paragraphs>81</Paragraphs>
  <TotalTime>16</TotalTime>
  <ScaleCrop>false</ScaleCrop>
  <LinksUpToDate>false</LinksUpToDate>
  <CharactersWithSpaces>37711</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2020-09-05T05:16:00Z</dcterms:created>
  <dc:creator>fangjing</dc:creator>
  <cp:lastModifiedBy>摩卡</cp:lastModifiedBy>
  <cp:lastPrinted>2022-04-15T14:00:00Z</cp:lastPrinted>
  <dcterms:modified xsi:type="dcterms:W3CDTF">2022-12-20T06:51:52Z</dcterms:modified>
  <cp:revision>209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6CD1C12E6DF648AEA441EC796F0F5784</vt:lpwstr>
  </property>
</Properties>
</file>