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微软雅黑" w:hAnsi="微软雅黑" w:eastAsia="微软雅黑" w:cs="微软雅黑"/>
          <w:sz w:val="28"/>
          <w:szCs w:val="28"/>
          <w:lang w:val="en-GB"/>
        </w:rPr>
      </w:pPr>
    </w:p>
    <w:sdt>
      <w:sdtPr>
        <w:rPr>
          <w:rFonts w:hint="eastAsia" w:ascii="微软雅黑" w:hAnsi="微软雅黑" w:eastAsia="微软雅黑" w:cs="微软雅黑"/>
          <w:sz w:val="28"/>
          <w:szCs w:val="28"/>
        </w:rPr>
        <w:id w:val="-2138327736"/>
        <w:docPartObj>
          <w:docPartGallery w:val="autotext"/>
        </w:docPartObj>
      </w:sdtPr>
      <w:sdtEndPr>
        <w:rPr>
          <w:rFonts w:hint="eastAsia" w:ascii="微软雅黑" w:hAnsi="微软雅黑" w:eastAsia="微软雅黑" w:cs="微软雅黑"/>
          <w:sz w:val="28"/>
          <w:szCs w:val="28"/>
          <w:lang w:val="zh-CN"/>
        </w:rPr>
      </w:sdtEndPr>
      <w:sdtContent>
        <w:p>
          <w:pPr>
            <w:rPr>
              <w:rFonts w:hint="eastAsia" w:ascii="微软雅黑" w:hAnsi="微软雅黑" w:eastAsia="微软雅黑" w:cs="微软雅黑"/>
              <w:sz w:val="28"/>
              <w:szCs w:val="28"/>
            </w:rPr>
          </w:pPr>
          <w:bookmarkStart w:id="0" w:name="_Toc476152955"/>
          <w:r>
            <w:rPr>
              <w:rFonts w:hint="eastAsia" w:ascii="微软雅黑" w:hAnsi="微软雅黑" w:eastAsia="微软雅黑" w:cs="微软雅黑"/>
              <w:sz w:val="28"/>
              <w:szCs w:val="28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>
                    <wp:simplePos x="0" y="0"/>
                    <wp:positionH relativeFrom="margin">
                      <wp:posOffset>426085</wp:posOffset>
                    </wp:positionH>
                    <wp:positionV relativeFrom="paragraph">
                      <wp:posOffset>2790190</wp:posOffset>
                    </wp:positionV>
                    <wp:extent cx="4408170" cy="627380"/>
                    <wp:effectExtent l="0" t="0" r="0" b="1270"/>
                    <wp:wrapNone/>
                    <wp:docPr id="25" name="文本框 2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408170" cy="62739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pPr>
                                  <w:jc w:val="center"/>
                                  <w:rPr>
                                    <w:sz w:val="48"/>
                                  </w:rPr>
                                </w:pPr>
                                <w:r>
                                  <w:rPr>
                                    <w:rFonts w:hint="eastAsia"/>
                                    <w:sz w:val="48"/>
                                  </w:rPr>
                                  <w:t>（律师事务所版）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 id="_x0000_s1026" o:spid="_x0000_s1026" o:spt="202" type="#_x0000_t202" style="position:absolute;left:0pt;margin-left:33.55pt;margin-top:219.7pt;height:49.4pt;width:347.1pt;mso-position-horizontal-relative:margin;z-index:251660288;mso-width-relative:page;mso-height-relative:page;" filled="f" stroked="f" coordsize="21600,21600" o:gfxdata="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">
                    <v:fill on="f" focussize="0,0"/>
                    <v:stroke on="f" weight="0.5pt"/>
                    <v:imagedata o:title=""/>
                    <o:lock v:ext="edit" aspectratio="f"/>
                    <v:textbox>
                      <w:txbxContent>
                        <w:p>
                          <w:pPr>
                            <w:jc w:val="center"/>
                            <w:rPr>
                              <w:sz w:val="48"/>
                            </w:rPr>
                          </w:pPr>
                          <w:r>
                            <w:rPr>
                              <w:rFonts w:hint="eastAsia"/>
                              <w:sz w:val="48"/>
                            </w:rPr>
                            <w:t>（律师事务所版）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>
                    <wp:simplePos x="0" y="0"/>
                    <wp:positionH relativeFrom="margin">
                      <wp:align>center</wp:align>
                    </wp:positionH>
                    <wp:positionV relativeFrom="paragraph">
                      <wp:posOffset>7252335</wp:posOffset>
                    </wp:positionV>
                    <wp:extent cx="4408170" cy="859790"/>
                    <wp:effectExtent l="0" t="0" r="0" b="0"/>
                    <wp:wrapNone/>
                    <wp:docPr id="26" name="文本框 2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408226" cy="859809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pPr>
                                  <w:jc w:val="center"/>
                                  <w:rPr>
                                    <w:b/>
                                    <w:sz w:val="48"/>
                                  </w:rPr>
                                </w:pPr>
                                <w:r>
                                  <w:rPr>
                                    <w:rFonts w:hint="eastAsia"/>
                                    <w:b/>
                                    <w:sz w:val="48"/>
                                  </w:rPr>
                                  <w:t>浙江</w:t>
                                </w:r>
                                <w:r>
                                  <w:rPr>
                                    <w:b/>
                                    <w:sz w:val="48"/>
                                  </w:rPr>
                                  <w:t>省</w:t>
                                </w:r>
                                <w:r>
                                  <w:rPr>
                                    <w:rFonts w:hint="eastAsia"/>
                                    <w:b/>
                                    <w:sz w:val="48"/>
                                  </w:rPr>
                                  <w:t>律师协会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 id="_x0000_s1026" o:spid="_x0000_s1026" o:spt="202" type="#_x0000_t202" style="position:absolute;left:0pt;margin-top:571.05pt;height:67.7pt;width:347.1pt;mso-position-horizontal:center;mso-position-horizontal-relative:margin;z-index:251661312;mso-width-relative:page;mso-height-relative:page;" filled="f" stroked="f" coordsize="21600,21600" o:gfxdata="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">
                    <v:fill on="f" focussize="0,0"/>
                    <v:stroke on="f" weight="0.5pt"/>
                    <v:imagedata o:title=""/>
                    <o:lock v:ext="edit" aspectratio="f"/>
                    <v:textbox>
                      <w:txbxContent>
                        <w:p>
                          <w:pPr>
                            <w:jc w:val="center"/>
                            <w:rPr>
                              <w:b/>
                              <w:sz w:val="48"/>
                            </w:rPr>
                          </w:pPr>
                          <w:r>
                            <w:rPr>
                              <w:rFonts w:hint="eastAsia"/>
                              <w:b/>
                              <w:sz w:val="48"/>
                            </w:rPr>
                            <w:t>浙江</w:t>
                          </w:r>
                          <w:r>
                            <w:rPr>
                              <w:b/>
                              <w:sz w:val="48"/>
                            </w:rPr>
                            <w:t>省</w:t>
                          </w:r>
                          <w:r>
                            <w:rPr>
                              <w:rFonts w:hint="eastAsia"/>
                              <w:b/>
                              <w:sz w:val="48"/>
                            </w:rPr>
                            <w:t>律师协会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>
            <w:rPr>
              <w:rFonts w:hint="eastAsia" w:ascii="微软雅黑" w:hAnsi="微软雅黑" w:eastAsia="微软雅黑" w:cs="微软雅黑"/>
              <w:sz w:val="28"/>
              <w:szCs w:val="28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>
                    <wp:simplePos x="0" y="0"/>
                    <wp:positionH relativeFrom="margin">
                      <wp:align>right</wp:align>
                    </wp:positionH>
                    <wp:positionV relativeFrom="paragraph">
                      <wp:posOffset>947420</wp:posOffset>
                    </wp:positionV>
                    <wp:extent cx="5267960" cy="1460500"/>
                    <wp:effectExtent l="0" t="0" r="0" b="6985"/>
                    <wp:wrapNone/>
                    <wp:docPr id="23" name="文本框 2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268036" cy="146031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pPr>
                                  <w:jc w:val="center"/>
                                  <w:rPr>
                                    <w:b/>
                                    <w:sz w:val="72"/>
                                  </w:rPr>
                                </w:pPr>
                                <w:r>
                                  <w:rPr>
                                    <w:rFonts w:hint="eastAsia"/>
                                    <w:b/>
                                    <w:sz w:val="72"/>
                                  </w:rPr>
                                  <w:t>浙江省律师协会</w:t>
                                </w:r>
                              </w:p>
                              <w:p>
                                <w:pPr>
                                  <w:jc w:val="center"/>
                                  <w:rPr>
                                    <w:b/>
                                    <w:sz w:val="72"/>
                                  </w:rPr>
                                </w:pPr>
                                <w:r>
                                  <w:rPr>
                                    <w:rFonts w:hint="eastAsia"/>
                                    <w:b/>
                                    <w:sz w:val="72"/>
                                  </w:rPr>
                                  <w:t>年度考核系统用户手册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 id="_x0000_s1026" o:spid="_x0000_s1026" o:spt="202" type="#_x0000_t202" style="position:absolute;left:0pt;margin-top:74.6pt;height:115pt;width:414.8pt;mso-position-horizontal:right;mso-position-horizontal-relative:margin;z-index:251659264;mso-width-relative:page;mso-height-relative:page;" filled="f" stroked="f" coordsize="21600,21600" o:gfxdata="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">
                    <v:fill on="f" focussize="0,0"/>
                    <v:stroke on="f" weight="0.5pt"/>
                    <v:imagedata o:title=""/>
                    <o:lock v:ext="edit" aspectratio="f"/>
                    <v:textbox>
                      <w:txbxContent>
                        <w:p>
                          <w:pPr>
                            <w:jc w:val="center"/>
                            <w:rPr>
                              <w:b/>
                              <w:sz w:val="72"/>
                            </w:rPr>
                          </w:pPr>
                          <w:r>
                            <w:rPr>
                              <w:rFonts w:hint="eastAsia"/>
                              <w:b/>
                              <w:sz w:val="72"/>
                            </w:rPr>
                            <w:t>浙江省律师协会</w:t>
                          </w:r>
                        </w:p>
                        <w:p>
                          <w:pPr>
                            <w:jc w:val="center"/>
                            <w:rPr>
                              <w:b/>
                              <w:sz w:val="72"/>
                            </w:rPr>
                          </w:pPr>
                          <w:r>
                            <w:rPr>
                              <w:rFonts w:hint="eastAsia"/>
                              <w:b/>
                              <w:sz w:val="72"/>
                            </w:rPr>
                            <w:t>年度考核系统用户手册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</w:p>
      </w:sdtContent>
    </w:sdt>
    <w:bookmarkEnd w:id="0"/>
    <w:p>
      <w:pPr>
        <w:pStyle w:val="9"/>
        <w:pageBreakBefore/>
        <w:spacing w:line="360" w:lineRule="auto"/>
        <w:outlineLvl w:val="9"/>
        <w:rPr>
          <w:rFonts w:hint="eastAsia" w:ascii="微软雅黑" w:hAnsi="微软雅黑" w:eastAsia="微软雅黑" w:cs="微软雅黑"/>
          <w:sz w:val="28"/>
          <w:szCs w:val="28"/>
          <w:lang w:val="en-GB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GB"/>
        </w:rPr>
        <w:t>浙江省律师协会年度考核系统用户手册</w:t>
      </w:r>
    </w:p>
    <w:p>
      <w:pPr>
        <w:pStyle w:val="9"/>
        <w:spacing w:line="360" w:lineRule="auto"/>
        <w:outlineLvl w:val="9"/>
        <w:rPr>
          <w:rFonts w:hint="eastAsia" w:ascii="微软雅黑" w:hAnsi="微软雅黑" w:eastAsia="微软雅黑" w:cs="微软雅黑"/>
          <w:sz w:val="28"/>
          <w:szCs w:val="28"/>
          <w:lang w:val="en-GB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GB"/>
        </w:rPr>
        <w:t>（律师事务所版）</w:t>
      </w:r>
    </w:p>
    <w:p>
      <w:pPr>
        <w:spacing w:line="360" w:lineRule="auto"/>
        <w:ind w:firstLine="560" w:firstLineChars="20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本手册用于律师事务所在系统中对律师考核评议，提交信息确认表。</w:t>
      </w:r>
    </w:p>
    <w:p>
      <w:pPr>
        <w:spacing w:line="360" w:lineRule="auto"/>
        <w:ind w:firstLine="560" w:firstLineChars="20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在浏览器中输入访问地址（</w:t>
      </w:r>
      <w:r>
        <w:rPr>
          <w:rFonts w:hint="eastAsia" w:ascii="微软雅黑" w:hAnsi="微软雅黑" w:eastAsia="微软雅黑" w:cs="微软雅黑"/>
          <w:sz w:val="28"/>
          <w:szCs w:val="28"/>
        </w:rPr>
        <w:fldChar w:fldCharType="begin"/>
      </w:r>
      <w:r>
        <w:rPr>
          <w:rFonts w:hint="eastAsia" w:ascii="微软雅黑" w:hAnsi="微软雅黑" w:eastAsia="微软雅黑" w:cs="微软雅黑"/>
          <w:sz w:val="28"/>
          <w:szCs w:val="28"/>
        </w:rPr>
        <w:instrText xml:space="preserve"> HYPERLINK "http://www.zjbar.com/" </w:instrText>
      </w:r>
      <w:r>
        <w:rPr>
          <w:rFonts w:hint="eastAsia" w:ascii="微软雅黑" w:hAnsi="微软雅黑" w:eastAsia="微软雅黑" w:cs="微软雅黑"/>
          <w:sz w:val="28"/>
          <w:szCs w:val="28"/>
        </w:rPr>
        <w:fldChar w:fldCharType="separate"/>
      </w:r>
      <w:r>
        <w:rPr>
          <w:rStyle w:val="13"/>
          <w:rFonts w:hint="eastAsia" w:ascii="微软雅黑" w:hAnsi="微软雅黑" w:eastAsia="微软雅黑" w:cs="微软雅黑"/>
          <w:sz w:val="28"/>
          <w:szCs w:val="28"/>
        </w:rPr>
        <w:t>http://www.zjbar.com/</w:t>
      </w:r>
      <w:r>
        <w:rPr>
          <w:rStyle w:val="13"/>
          <w:rFonts w:hint="eastAsia" w:ascii="微软雅黑" w:hAnsi="微软雅黑" w:eastAsia="微软雅黑" w:cs="微软雅黑"/>
          <w:sz w:val="28"/>
          <w:szCs w:val="28"/>
        </w:rPr>
        <w:fldChar w:fldCharType="end"/>
      </w:r>
      <w:r>
        <w:rPr>
          <w:rFonts w:hint="eastAsia" w:ascii="微软雅黑" w:hAnsi="微软雅黑" w:eastAsia="微软雅黑" w:cs="微软雅黑"/>
          <w:sz w:val="28"/>
          <w:szCs w:val="28"/>
        </w:rPr>
        <w:t xml:space="preserve"> ）后，会员系统的登录页面如下图所示：</w:t>
      </w:r>
    </w:p>
    <w:p>
      <w:pPr>
        <w:spacing w:line="360" w:lineRule="auto"/>
        <w:rPr>
          <w:rFonts w:hint="eastAsia" w:ascii="微软雅黑" w:hAnsi="微软雅黑" w:eastAsia="微软雅黑" w:cs="微软雅黑"/>
          <w:b/>
          <w:sz w:val="28"/>
          <w:szCs w:val="28"/>
          <w:lang w:val="en-GB"/>
        </w:rPr>
      </w:pPr>
      <w:r>
        <w:drawing>
          <wp:inline distT="0" distB="0" distL="114300" distR="114300">
            <wp:extent cx="5257800" cy="2992120"/>
            <wp:effectExtent l="0" t="0" r="0" b="1778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57800" cy="2992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560" w:firstLineChars="20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在输入框中填入用户名及密码，点击“登录”按钮即可登入神州律师网。</w:t>
      </w:r>
    </w:p>
    <w:p>
      <w:pPr>
        <w:spacing w:line="360" w:lineRule="auto"/>
        <w:ind w:firstLine="560" w:firstLineChars="200"/>
        <w:rPr>
          <w:rFonts w:hint="default" w:ascii="微软雅黑" w:hAnsi="微软雅黑" w:eastAsia="微软雅黑" w:cs="微软雅黑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b/>
          <w:sz w:val="28"/>
          <w:szCs w:val="28"/>
        </w:rPr>
        <w:t>律师事务所登录账号：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律所统一社会信用代码/律所执业许可证号/律所中文全称</w:t>
      </w:r>
    </w:p>
    <w:p>
      <w:pPr>
        <w:spacing w:line="360" w:lineRule="auto"/>
        <w:ind w:firstLine="560" w:firstLineChars="200"/>
        <w:rPr>
          <w:rFonts w:hint="eastAsia" w:ascii="微软雅黑" w:hAnsi="微软雅黑" w:eastAsia="微软雅黑" w:cs="微软雅黑"/>
          <w:sz w:val="28"/>
          <w:szCs w:val="28"/>
          <w:lang w:eastAsia="zh-CN"/>
        </w:rPr>
      </w:pPr>
      <w:r>
        <w:rPr>
          <w:rFonts w:hint="eastAsia" w:ascii="微软雅黑" w:hAnsi="微软雅黑" w:eastAsia="微软雅黑" w:cs="微软雅黑"/>
          <w:b/>
          <w:sz w:val="28"/>
          <w:szCs w:val="28"/>
        </w:rPr>
        <w:t>初始密码：</w:t>
      </w:r>
      <w:r>
        <w:rPr>
          <w:rFonts w:hint="eastAsia" w:ascii="微软雅黑" w:hAnsi="微软雅黑" w:eastAsia="微软雅黑" w:cs="微软雅黑"/>
          <w:sz w:val="28"/>
          <w:szCs w:val="28"/>
        </w:rPr>
        <w:t>ZJ3x@#2022v</w:t>
      </w:r>
    </w:p>
    <w:p>
      <w:pPr>
        <w:spacing w:line="360" w:lineRule="auto"/>
        <w:ind w:firstLine="560" w:firstLineChars="20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用户名为数字，输入时，请将输入法切换至英文半角模式</w:t>
      </w:r>
      <w:r>
        <w:rPr>
          <w:rFonts w:hint="eastAsia" w:ascii="微软雅黑" w:hAnsi="微软雅黑" w:eastAsia="微软雅黑" w:cs="微软雅黑"/>
          <w:sz w:val="28"/>
          <w:szCs w:val="28"/>
          <w:lang w:eastAsia="zh-CN"/>
        </w:rPr>
        <w:t>，</w:t>
      </w:r>
      <w:r>
        <w:rPr>
          <w:rFonts w:hint="eastAsia" w:ascii="微软雅黑" w:hAnsi="微软雅黑" w:eastAsia="微软雅黑" w:cs="微软雅黑"/>
          <w:sz w:val="28"/>
          <w:szCs w:val="28"/>
        </w:rPr>
        <w:t>密码区分大小写</w:t>
      </w:r>
    </w:p>
    <w:p>
      <w:pPr>
        <w:spacing w:line="360" w:lineRule="auto"/>
        <w:ind w:firstLine="560" w:firstLineChars="200"/>
        <w:rPr>
          <w:rFonts w:hint="eastAsia" w:ascii="微软雅黑" w:hAnsi="微软雅黑" w:eastAsia="微软雅黑" w:cs="微软雅黑"/>
          <w:b/>
          <w:bCs/>
          <w:color w:val="FF0000"/>
          <w:sz w:val="28"/>
          <w:szCs w:val="28"/>
        </w:rPr>
      </w:pPr>
      <w:r>
        <w:rPr>
          <w:rFonts w:hint="eastAsia" w:ascii="微软雅黑" w:hAnsi="微软雅黑" w:eastAsia="微软雅黑" w:cs="微软雅黑"/>
          <w:b/>
          <w:bCs/>
          <w:color w:val="FF0000"/>
          <w:sz w:val="28"/>
          <w:szCs w:val="28"/>
          <w:lang w:val="en-US" w:eastAsia="zh-CN"/>
        </w:rPr>
        <w:t>如忘记密码，可点击会员登录右下角“忘了密码”自行核实信息找回密码</w:t>
      </w:r>
    </w:p>
    <w:p>
      <w:pPr>
        <w:spacing w:line="360" w:lineRule="auto"/>
        <w:ind w:firstLine="560" w:firstLineChars="20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登入成功后，点击【会员中心】进入会员系统，进行律师年度考核工作，如下图所示：</w:t>
      </w:r>
    </w:p>
    <w:p>
      <w:pPr>
        <w:spacing w:line="360" w:lineRule="auto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drawing>
          <wp:inline distT="0" distB="0" distL="0" distR="0">
            <wp:extent cx="5274310" cy="1169035"/>
            <wp:effectExtent l="9525" t="9525" r="12065" b="2159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69035"/>
                    </a:xfrm>
                    <a:prstGeom prst="rect">
                      <a:avLst/>
                    </a:prstGeom>
                    <a:ln>
                      <a:solidFill>
                        <a:schemeClr val="bg2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560" w:firstLineChars="20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color w:val="FF0000"/>
          <w:sz w:val="28"/>
          <w:szCs w:val="28"/>
        </w:rPr>
        <w:t>注：</w:t>
      </w:r>
      <w:r>
        <w:rPr>
          <w:rFonts w:hint="eastAsia" w:ascii="微软雅黑" w:hAnsi="微软雅黑" w:eastAsia="微软雅黑" w:cs="微软雅黑"/>
          <w:sz w:val="28"/>
          <w:szCs w:val="28"/>
        </w:rPr>
        <w:t>因IE浏览器低版本存在兼容性问题，可能造成无法正常使用系统，出现页面样式错乱，点击按钮没有反应，建议大家使用</w:t>
      </w:r>
      <w:r>
        <w:rPr>
          <w:rFonts w:hint="eastAsia" w:ascii="微软雅黑" w:hAnsi="微软雅黑" w:eastAsia="微软雅黑" w:cs="微软雅黑"/>
          <w:sz w:val="28"/>
          <w:szCs w:val="28"/>
        </w:rPr>
        <w:fldChar w:fldCharType="begin"/>
      </w:r>
      <w:r>
        <w:rPr>
          <w:rFonts w:hint="eastAsia" w:ascii="微软雅黑" w:hAnsi="微软雅黑" w:eastAsia="微软雅黑" w:cs="微软雅黑"/>
          <w:sz w:val="28"/>
          <w:szCs w:val="28"/>
        </w:rPr>
        <w:instrText xml:space="preserve"> HYPERLINK "http://sw.bos.baidu.com/sw-search-sp/software/1c5131aea1842/ChromeStandalone_56.0.2924.87_Setup.exe" </w:instrText>
      </w:r>
      <w:r>
        <w:rPr>
          <w:rFonts w:hint="eastAsia" w:ascii="微软雅黑" w:hAnsi="微软雅黑" w:eastAsia="微软雅黑" w:cs="微软雅黑"/>
          <w:sz w:val="28"/>
          <w:szCs w:val="28"/>
        </w:rPr>
        <w:fldChar w:fldCharType="separate"/>
      </w:r>
      <w:r>
        <w:rPr>
          <w:rFonts w:hint="eastAsia" w:ascii="微软雅黑" w:hAnsi="微软雅黑" w:eastAsia="微软雅黑" w:cs="微软雅黑"/>
          <w:sz w:val="28"/>
          <w:szCs w:val="28"/>
        </w:rPr>
        <w:t>chrome浏览器</w:t>
      </w:r>
      <w:r>
        <w:rPr>
          <w:rFonts w:hint="eastAsia" w:ascii="微软雅黑" w:hAnsi="微软雅黑" w:eastAsia="微软雅黑" w:cs="微软雅黑"/>
          <w:sz w:val="28"/>
          <w:szCs w:val="28"/>
        </w:rPr>
        <w:fldChar w:fldCharType="end"/>
      </w:r>
      <w:r>
        <w:rPr>
          <w:rFonts w:hint="eastAsia" w:ascii="微软雅黑" w:hAnsi="微软雅黑" w:eastAsia="微软雅黑" w:cs="微软雅黑"/>
          <w:sz w:val="28"/>
          <w:szCs w:val="28"/>
        </w:rPr>
        <w:t>、</w:t>
      </w:r>
      <w:r>
        <w:rPr>
          <w:rFonts w:hint="eastAsia" w:ascii="微软雅黑" w:hAnsi="微软雅黑" w:eastAsia="微软雅黑" w:cs="微软雅黑"/>
          <w:sz w:val="28"/>
          <w:szCs w:val="28"/>
        </w:rPr>
        <w:fldChar w:fldCharType="begin"/>
      </w:r>
      <w:r>
        <w:rPr>
          <w:rFonts w:hint="eastAsia" w:ascii="微软雅黑" w:hAnsi="微软雅黑" w:eastAsia="微软雅黑" w:cs="微软雅黑"/>
          <w:sz w:val="28"/>
          <w:szCs w:val="28"/>
        </w:rPr>
        <w:instrText xml:space="preserve"> HYPERLINK "http://down.360safe.com/se/360se8.1.1.248.exe" </w:instrText>
      </w:r>
      <w:r>
        <w:rPr>
          <w:rFonts w:hint="eastAsia" w:ascii="微软雅黑" w:hAnsi="微软雅黑" w:eastAsia="微软雅黑" w:cs="微软雅黑"/>
          <w:sz w:val="28"/>
          <w:szCs w:val="28"/>
        </w:rPr>
        <w:fldChar w:fldCharType="separate"/>
      </w:r>
      <w:r>
        <w:rPr>
          <w:rFonts w:hint="eastAsia" w:ascii="微软雅黑" w:hAnsi="微软雅黑" w:eastAsia="微软雅黑" w:cs="微软雅黑"/>
          <w:sz w:val="28"/>
          <w:szCs w:val="28"/>
        </w:rPr>
        <w:t>360浏览器（极速模式）</w:t>
      </w:r>
      <w:r>
        <w:rPr>
          <w:rFonts w:hint="eastAsia" w:ascii="微软雅黑" w:hAnsi="微软雅黑" w:eastAsia="微软雅黑" w:cs="微软雅黑"/>
          <w:sz w:val="28"/>
          <w:szCs w:val="28"/>
          <w:lang w:eastAsia="zh-CN"/>
        </w:rPr>
        <w:t>。</w:t>
      </w:r>
      <w:r>
        <w:rPr>
          <w:rFonts w:hint="eastAsia" w:ascii="微软雅黑" w:hAnsi="微软雅黑" w:eastAsia="微软雅黑" w:cs="微软雅黑"/>
          <w:sz w:val="28"/>
          <w:szCs w:val="28"/>
        </w:rPr>
        <w:fldChar w:fldCharType="end"/>
      </w:r>
      <w:r>
        <w:rPr>
          <w:rFonts w:hint="eastAsia" w:ascii="微软雅黑" w:hAnsi="微软雅黑" w:eastAsia="微软雅黑" w:cs="微软雅黑"/>
          <w:sz w:val="28"/>
          <w:szCs w:val="28"/>
        </w:rPr>
        <w:t xml:space="preserve"> </w:t>
      </w:r>
    </w:p>
    <w:p>
      <w:pPr>
        <w:spacing w:line="360" w:lineRule="auto"/>
        <w:rPr>
          <w:rFonts w:hint="eastAsia" w:ascii="微软雅黑" w:hAnsi="微软雅黑" w:eastAsia="微软雅黑" w:cs="微软雅黑"/>
          <w:b/>
          <w:bCs/>
          <w:sz w:val="28"/>
          <w:szCs w:val="28"/>
        </w:rPr>
      </w:pPr>
    </w:p>
    <w:p>
      <w:pPr>
        <w:spacing w:line="360" w:lineRule="auto"/>
        <w:ind w:firstLine="560" w:firstLineChars="200"/>
        <w:jc w:val="center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b/>
          <w:bCs/>
          <w:sz w:val="28"/>
          <w:szCs w:val="28"/>
        </w:rPr>
        <w:t>律师事务所对律师评议及提交信息确认流程如下：</w:t>
      </w:r>
    </w:p>
    <w:p>
      <w:pPr>
        <w:spacing w:line="360" w:lineRule="auto"/>
        <w:ind w:left="67" w:leftChars="-95" w:hanging="266" w:hangingChars="95"/>
        <w:jc w:val="center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  <w:lang w:eastAsia="zh-CN"/>
        </w:rPr>
        <w:drawing>
          <wp:inline distT="0" distB="0" distL="114300" distR="114300">
            <wp:extent cx="5268595" cy="4213860"/>
            <wp:effectExtent l="0" t="0" r="0" b="0"/>
            <wp:docPr id="21" name="图片 21" descr="未命名文件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 descr="未命名文件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4213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ascii="微软雅黑" w:hAnsi="微软雅黑" w:eastAsia="微软雅黑" w:cs="微软雅黑"/>
          <w:sz w:val="28"/>
          <w:szCs w:val="28"/>
          <w:lang w:val="en-GB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GB"/>
        </w:rPr>
        <w:br w:type="page"/>
      </w:r>
    </w:p>
    <w:p>
      <w:pPr>
        <w:pStyle w:val="2"/>
        <w:rPr>
          <w:rFonts w:hint="eastAsia" w:ascii="微软雅黑" w:hAnsi="微软雅黑" w:eastAsia="微软雅黑" w:cs="微软雅黑"/>
          <w:sz w:val="28"/>
          <w:szCs w:val="28"/>
          <w:lang w:val="en-GB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GB"/>
        </w:rPr>
        <w:t>一、律师考核评议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本栏主要用于律师事务所对律师年度考核出具评议意见。</w:t>
      </w:r>
    </w:p>
    <w:p>
      <w:pPr>
        <w:spacing w:line="360" w:lineRule="auto"/>
        <w:ind w:firstLine="560" w:firstLineChars="20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点击左侧导航栏【律师考核评议】链接，进入到“律师事务所考核评议”工作界面,如下图所示：</w:t>
      </w:r>
    </w:p>
    <w:p>
      <w:pPr>
        <w:spacing w:line="360" w:lineRule="auto"/>
        <w:rPr>
          <w:rFonts w:hint="eastAsia" w:ascii="微软雅黑" w:hAnsi="微软雅黑" w:eastAsia="微软雅黑" w:cs="微软雅黑"/>
          <w:sz w:val="28"/>
          <w:szCs w:val="28"/>
        </w:rPr>
      </w:pPr>
      <w:r>
        <w:drawing>
          <wp:inline distT="0" distB="0" distL="114300" distR="114300">
            <wp:extent cx="5272405" cy="3326765"/>
            <wp:effectExtent l="0" t="0" r="4445" b="6985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332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rFonts w:hint="eastAsia" w:ascii="微软雅黑" w:hAnsi="微软雅黑" w:eastAsia="微软雅黑" w:cs="微软雅黑"/>
          <w:b/>
          <w:sz w:val="28"/>
          <w:szCs w:val="28"/>
        </w:rPr>
      </w:pPr>
      <w:r>
        <w:rPr>
          <w:rFonts w:hint="eastAsia" w:ascii="微软雅黑" w:hAnsi="微软雅黑" w:eastAsia="微软雅黑" w:cs="微软雅黑"/>
          <w:b/>
          <w:sz w:val="28"/>
          <w:szCs w:val="28"/>
        </w:rPr>
        <w:t>功能说明：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全部评议为称职：将待评议列表中的律师考核，都评议为称职。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减免条件：律师如申请会费减免申请通过后此处会展示减免原因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color w:val="FF0000"/>
          <w:sz w:val="28"/>
          <w:szCs w:val="28"/>
        </w:rPr>
      </w:pPr>
      <w:r>
        <w:rPr>
          <w:rFonts w:hint="eastAsia" w:ascii="微软雅黑" w:hAnsi="微软雅黑" w:eastAsia="微软雅黑" w:cs="微软雅黑"/>
          <w:color w:val="FF0000"/>
          <w:sz w:val="28"/>
          <w:szCs w:val="28"/>
        </w:rPr>
        <w:t>注意：点击律师姓名可以查看律师填写的考核表信息内容。</w:t>
      </w:r>
      <w:r>
        <w:rPr>
          <w:rFonts w:hint="eastAsia" w:ascii="微软雅黑" w:hAnsi="微软雅黑" w:eastAsia="微软雅黑" w:cs="微软雅黑"/>
          <w:color w:val="FF0000"/>
          <w:sz w:val="28"/>
          <w:szCs w:val="28"/>
          <w:lang w:val="en-US" w:eastAsia="zh-CN"/>
        </w:rPr>
        <w:t>评议律师时，如该律师2024年度上报的公益法律服务时长不足50小时，会出现时长不足的相关提示语，律师可在提交考核表后正常进行公益法律服务填报，由律所统一上报后自动更新至考核表中。</w:t>
      </w:r>
    </w:p>
    <w:p>
      <w:pPr>
        <w:pStyle w:val="2"/>
        <w:rPr>
          <w:rFonts w:hint="eastAsia" w:ascii="微软雅黑" w:hAnsi="微软雅黑" w:eastAsia="微软雅黑" w:cs="微软雅黑"/>
          <w:sz w:val="28"/>
          <w:szCs w:val="28"/>
          <w:lang w:val="en-GB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GB"/>
        </w:rPr>
        <w:t>二、律师事务所信息核对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本栏主要用于律师事务所确认信息表。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点击左侧导航栏＂律师事务所信息核对＂链接，进入到“律师事务所信息核对”工作界面，如下图所示：</w:t>
      </w:r>
    </w:p>
    <w:p>
      <w:pPr>
        <w:spacing w:line="360" w:lineRule="auto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drawing>
          <wp:inline distT="0" distB="0" distL="114300" distR="114300">
            <wp:extent cx="5273040" cy="3456305"/>
            <wp:effectExtent l="9525" t="9525" r="13335" b="20320"/>
            <wp:docPr id="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345630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2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color w:val="FF0000"/>
          <w:sz w:val="28"/>
          <w:szCs w:val="28"/>
        </w:rPr>
      </w:pPr>
      <w:r>
        <w:rPr>
          <w:rFonts w:hint="eastAsia" w:ascii="微软雅黑" w:hAnsi="微软雅黑" w:eastAsia="微软雅黑" w:cs="微软雅黑"/>
          <w:color w:val="FF0000"/>
          <w:sz w:val="28"/>
          <w:szCs w:val="28"/>
        </w:rPr>
        <w:t>注意：进行律师事务所信息确认前，需要提交信息补全并确保信息补全已审核通过，审核请联系所在律师协会进行审核，否则不能填报《律师事务所确认表》。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首次进入填报年度考核登记表前，会默认出现填报须知，请认真阅读，并点击“我已阅读填报须知，开始填报《律师事务所确认表》”按钮，正式开始网上填报操作，如下图所示：</w:t>
      </w:r>
    </w:p>
    <w:p>
      <w:pPr>
        <w:spacing w:line="360" w:lineRule="auto"/>
        <w:rPr>
          <w:rFonts w:hint="eastAsia" w:ascii="微软雅黑" w:hAnsi="微软雅黑" w:eastAsia="微软雅黑" w:cs="微软雅黑"/>
          <w:sz w:val="28"/>
          <w:szCs w:val="28"/>
        </w:rPr>
      </w:pPr>
      <w:r>
        <w:drawing>
          <wp:inline distT="0" distB="0" distL="114300" distR="114300">
            <wp:extent cx="5273675" cy="5161280"/>
            <wp:effectExtent l="0" t="0" r="3175" b="1270"/>
            <wp:docPr id="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5161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确认表格中显示的信息内容，如果律师事务所</w:t>
      </w:r>
      <w:r>
        <w:rPr>
          <w:rFonts w:hint="eastAsia" w:ascii="微软雅黑" w:hAnsi="微软雅黑" w:eastAsia="微软雅黑" w:cs="微软雅黑"/>
          <w:color w:val="FF0000"/>
          <w:sz w:val="28"/>
          <w:szCs w:val="28"/>
        </w:rPr>
        <w:t>执业信息</w:t>
      </w:r>
      <w:r>
        <w:rPr>
          <w:rFonts w:hint="eastAsia" w:ascii="微软雅黑" w:hAnsi="微软雅黑" w:eastAsia="微软雅黑" w:cs="微软雅黑"/>
          <w:sz w:val="28"/>
          <w:szCs w:val="28"/>
        </w:rPr>
        <w:t>（执业证号、负责人、组织时间、成立时间）有误请通过【技术咨询】并上传律师事务所执业副本作为修改依据，如果律师事务所</w:t>
      </w:r>
      <w:r>
        <w:rPr>
          <w:rFonts w:hint="eastAsia" w:ascii="微软雅黑" w:hAnsi="微软雅黑" w:eastAsia="微软雅黑" w:cs="微软雅黑"/>
          <w:color w:val="FF0000"/>
          <w:sz w:val="28"/>
          <w:szCs w:val="28"/>
        </w:rPr>
        <w:t>基本信息</w:t>
      </w:r>
      <w:r>
        <w:rPr>
          <w:rFonts w:hint="eastAsia" w:ascii="微软雅黑" w:hAnsi="微软雅黑" w:eastAsia="微软雅黑" w:cs="微软雅黑"/>
          <w:sz w:val="28"/>
          <w:szCs w:val="28"/>
        </w:rPr>
        <w:t>（邮编、电话、邮箱、传真号等信息）有误，请通过【机构档案】进行信息变更。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确认信息无误后，律师事务所如果有未填报年度考核表的律师请选明原因，并做说明。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bookmarkStart w:id="1" w:name="_Hlk476130184"/>
      <w:r>
        <w:rPr>
          <w:rFonts w:hint="eastAsia" w:ascii="微软雅黑" w:hAnsi="微软雅黑" w:eastAsia="微软雅黑" w:cs="微软雅黑"/>
          <w:sz w:val="28"/>
          <w:szCs w:val="28"/>
        </w:rPr>
        <w:t>核对确认表后，点击“提交确认表”按钮，完成信息核对工作。</w:t>
      </w:r>
    </w:p>
    <w:p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auto"/>
        <w:ind w:firstLine="560" w:firstLineChars="200"/>
        <w:textAlignment w:val="auto"/>
        <w:rPr>
          <w:rFonts w:hint="eastAsia" w:ascii="微软雅黑" w:hAnsi="微软雅黑" w:eastAsia="微软雅黑" w:cs="微软雅黑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微软雅黑" w:hAnsi="微软雅黑" w:eastAsia="微软雅黑" w:cs="微软雅黑"/>
          <w:b w:val="0"/>
          <w:bCs w:val="0"/>
          <w:kern w:val="2"/>
          <w:sz w:val="28"/>
          <w:szCs w:val="28"/>
          <w:lang w:val="en-US" w:eastAsia="zh-CN" w:bidi="ar-SA"/>
        </w:rPr>
        <w:t>提交考核表时，如所内律师2024年度上报的公益法律服务时长不足50小时，会出现时长不足的相关提示语，律师可在提交考核表后正常进行公益法律服务填报，由律所统一上报后自动更新至考核表中。</w:t>
      </w:r>
      <w:bookmarkEnd w:id="1"/>
    </w:p>
    <w:p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auto"/>
        <w:ind w:firstLine="560" w:firstLineChars="200"/>
        <w:textAlignment w:val="auto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表格提交后，如果律师事务所符合会费减免条件可通过【律师事务所会费减免申请】申请会费减免。</w:t>
      </w:r>
    </w:p>
    <w:p>
      <w:pPr>
        <w:pStyle w:val="2"/>
        <w:rPr>
          <w:rFonts w:hint="eastAsia" w:ascii="微软雅黑" w:hAnsi="微软雅黑" w:eastAsia="微软雅黑" w:cs="微软雅黑"/>
          <w:sz w:val="28"/>
          <w:szCs w:val="28"/>
          <w:lang w:val="en-GB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GB"/>
        </w:rPr>
        <w:t>三、律师事务所会费减免申请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提交信息确认表后【会费明细】中会显示应缴纳团体会费金额，根据律师事务所情况申请会费减免，每家所只能提交一条有效的会费减免申请（如提交被驳回，可重新提交申请）。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点击左侧导航栏“</w:t>
      </w:r>
      <w:r>
        <w:rPr>
          <w:rFonts w:hint="eastAsia" w:ascii="微软雅黑" w:hAnsi="微软雅黑" w:eastAsia="微软雅黑" w:cs="微软雅黑"/>
          <w:sz w:val="28"/>
          <w:szCs w:val="28"/>
          <w:lang w:val="en-GB"/>
        </w:rPr>
        <w:t>律师事务所会费减免申请</w:t>
      </w:r>
      <w:r>
        <w:rPr>
          <w:rFonts w:hint="eastAsia" w:ascii="微软雅黑" w:hAnsi="微软雅黑" w:eastAsia="微软雅黑" w:cs="微软雅黑"/>
          <w:sz w:val="28"/>
          <w:szCs w:val="28"/>
        </w:rPr>
        <w:t>”链接，进入操作界面，如下图所示：</w:t>
      </w:r>
    </w:p>
    <w:p>
      <w:pPr>
        <w:spacing w:line="360" w:lineRule="auto"/>
        <w:rPr>
          <w:rFonts w:hint="eastAsia" w:ascii="微软雅黑" w:hAnsi="微软雅黑" w:eastAsia="微软雅黑" w:cs="微软雅黑"/>
          <w:sz w:val="28"/>
          <w:szCs w:val="28"/>
        </w:rPr>
      </w:pPr>
      <w:r>
        <w:drawing>
          <wp:inline distT="0" distB="0" distL="114300" distR="114300">
            <wp:extent cx="5272405" cy="3029585"/>
            <wp:effectExtent l="0" t="0" r="4445" b="18415"/>
            <wp:docPr id="6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3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3029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</w:p>
    <w:p>
      <w:pPr>
        <w:spacing w:line="360" w:lineRule="auto"/>
        <w:rPr>
          <w:rFonts w:hint="eastAsia" w:ascii="微软雅黑" w:hAnsi="微软雅黑" w:eastAsia="微软雅黑" w:cs="微软雅黑"/>
          <w:b/>
          <w:sz w:val="28"/>
          <w:szCs w:val="28"/>
        </w:rPr>
      </w:pPr>
      <w:bookmarkStart w:id="2" w:name="_Hlk476134263"/>
      <w:r>
        <w:rPr>
          <w:rFonts w:hint="eastAsia" w:ascii="微软雅黑" w:hAnsi="微软雅黑" w:eastAsia="微软雅黑" w:cs="微软雅黑"/>
          <w:b/>
          <w:sz w:val="28"/>
          <w:szCs w:val="28"/>
        </w:rPr>
        <w:t>功能说明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创建：用于填写律师事务所会费减免申请。</w:t>
      </w:r>
      <w:r>
        <w:rPr>
          <w:rFonts w:hint="eastAsia" w:ascii="微软雅黑" w:hAnsi="微软雅黑" w:eastAsia="微软雅黑" w:cs="微软雅黑"/>
          <w:color w:val="FF0000"/>
          <w:sz w:val="28"/>
          <w:szCs w:val="28"/>
        </w:rPr>
        <w:t>证明文件请上传PDF扫描件或照片文件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查看：查看会费减免申请详细内容。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删除：如果申请信息有误，在还未审核时可以对申请进行删除，</w:t>
      </w:r>
      <w:r>
        <w:rPr>
          <w:rFonts w:hint="eastAsia" w:ascii="微软雅黑" w:hAnsi="微软雅黑" w:eastAsia="微软雅黑" w:cs="微软雅黑"/>
          <w:color w:val="FF0000"/>
          <w:sz w:val="28"/>
          <w:szCs w:val="28"/>
        </w:rPr>
        <w:t>即仅当会费申请状态是待审核的时候可以进行删除操作。</w:t>
      </w:r>
    </w:p>
    <w:bookmarkEnd w:id="2"/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刷新：刷新当前申请列表信息，如遇到提交申请后列表没有显示申请信息，请先刷新查看。</w:t>
      </w:r>
    </w:p>
    <w:p>
      <w:pPr>
        <w:pStyle w:val="3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3.1创建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点击“律师事务所会费减免申请列表”页面的＂创建＂按钮</w:t>
      </w:r>
      <w:r>
        <w:rPr>
          <w:rFonts w:hint="eastAsia" w:ascii="微软雅黑" w:hAnsi="微软雅黑" w:eastAsia="微软雅黑" w:cs="微软雅黑"/>
          <w:iCs/>
          <w:sz w:val="28"/>
          <w:szCs w:val="28"/>
        </w:rPr>
        <w:t>，</w:t>
      </w:r>
      <w:r>
        <w:rPr>
          <w:rFonts w:hint="eastAsia" w:ascii="微软雅黑" w:hAnsi="微软雅黑" w:eastAsia="微软雅黑" w:cs="微软雅黑"/>
          <w:sz w:val="28"/>
          <w:szCs w:val="28"/>
        </w:rPr>
        <w:t>添加律师事务所会费减免，如下图所示：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color w:val="FF0000"/>
          <w:sz w:val="28"/>
          <w:szCs w:val="28"/>
        </w:rPr>
      </w:pPr>
      <w:r>
        <w:rPr>
          <w:rFonts w:hint="eastAsia" w:ascii="微软雅黑" w:hAnsi="微软雅黑" w:eastAsia="微软雅黑" w:cs="微软雅黑"/>
          <w:color w:val="FF0000"/>
          <w:sz w:val="28"/>
          <w:szCs w:val="28"/>
        </w:rPr>
        <w:t>证明文件请上传PDF扫描件或照片文件</w:t>
      </w:r>
    </w:p>
    <w:p>
      <w:pPr>
        <w:spacing w:line="360" w:lineRule="auto"/>
        <w:rPr>
          <w:rFonts w:hint="eastAsia" w:ascii="微软雅黑" w:hAnsi="微软雅黑" w:eastAsia="微软雅黑" w:cs="微软雅黑"/>
          <w:sz w:val="28"/>
          <w:szCs w:val="28"/>
        </w:rPr>
      </w:pPr>
      <w:r>
        <w:drawing>
          <wp:inline distT="0" distB="0" distL="114300" distR="114300">
            <wp:extent cx="5269865" cy="4044315"/>
            <wp:effectExtent l="0" t="0" r="6985" b="13335"/>
            <wp:docPr id="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1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4044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点击【减免原因】下拉箭头选择减免原因，请根据律师事务所实际情况进行选择，并上传对应的证明材料。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信息编辑后，点击【创建】即可，页面自动调转至申请列表。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color w:val="FF0000"/>
          <w:sz w:val="28"/>
          <w:szCs w:val="28"/>
        </w:rPr>
      </w:pPr>
      <w:r>
        <w:rPr>
          <w:rFonts w:hint="eastAsia" w:ascii="微软雅黑" w:hAnsi="微软雅黑" w:eastAsia="微软雅黑" w:cs="微软雅黑"/>
          <w:color w:val="FF0000"/>
          <w:sz w:val="28"/>
          <w:szCs w:val="28"/>
        </w:rPr>
        <w:t>注意：申请减免金额填写不能大于应缴纳会费金额。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color w:val="FF0000"/>
          <w:sz w:val="28"/>
          <w:szCs w:val="28"/>
        </w:rPr>
      </w:pPr>
      <w:r>
        <w:rPr>
          <w:rFonts w:hint="eastAsia" w:ascii="微软雅黑" w:hAnsi="微软雅黑" w:eastAsia="微软雅黑" w:cs="微软雅黑"/>
          <w:color w:val="FF0000"/>
          <w:sz w:val="28"/>
          <w:szCs w:val="28"/>
        </w:rPr>
        <w:t>请在协会受理前进行申请，协会受理后无法进行申请。</w:t>
      </w:r>
    </w:p>
    <w:p>
      <w:pPr>
        <w:pStyle w:val="2"/>
        <w:rPr>
          <w:rFonts w:hint="eastAsia" w:ascii="微软雅黑" w:hAnsi="微软雅黑" w:eastAsia="微软雅黑" w:cs="微软雅黑"/>
          <w:sz w:val="28"/>
          <w:szCs w:val="28"/>
          <w:lang w:val="en-GB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GB"/>
        </w:rPr>
        <w:t>四、查询&amp;打印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此栏用于律师事务所查看当前律师年度考核工作处理进度，并打印《年度律师执业考核登记表》《年度律师执业考核汇总表》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点击左侧导航栏“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查询&amp;打印</w:t>
      </w:r>
      <w:r>
        <w:rPr>
          <w:rFonts w:hint="eastAsia" w:ascii="微软雅黑" w:hAnsi="微软雅黑" w:eastAsia="微软雅黑" w:cs="微软雅黑"/>
          <w:sz w:val="28"/>
          <w:szCs w:val="28"/>
        </w:rPr>
        <w:t>”链接，进入操作界面，如下图所示：</w:t>
      </w:r>
    </w:p>
    <w:p>
      <w:pPr>
        <w:spacing w:line="360" w:lineRule="auto"/>
        <w:jc w:val="center"/>
        <w:rPr>
          <w:rFonts w:hint="eastAsia" w:ascii="微软雅黑" w:hAnsi="微软雅黑" w:eastAsia="微软雅黑" w:cs="微软雅黑"/>
          <w:sz w:val="28"/>
          <w:szCs w:val="28"/>
        </w:rPr>
      </w:pPr>
      <w:r>
        <w:drawing>
          <wp:inline distT="0" distB="0" distL="114300" distR="114300">
            <wp:extent cx="5269230" cy="3387090"/>
            <wp:effectExtent l="0" t="0" r="7620" b="3810"/>
            <wp:docPr id="10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4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3387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color w:val="FF0000"/>
          <w:sz w:val="28"/>
          <w:szCs w:val="28"/>
        </w:rPr>
      </w:pPr>
      <w:r>
        <w:rPr>
          <w:rFonts w:hint="eastAsia" w:ascii="微软雅黑" w:hAnsi="微软雅黑" w:eastAsia="微软雅黑" w:cs="微软雅黑"/>
          <w:color w:val="FF0000"/>
          <w:sz w:val="28"/>
          <w:szCs w:val="28"/>
        </w:rPr>
        <w:t>注意：律师事务所在填报信息确认登记表后，才可以打印各类考核表。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在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分会</w:t>
      </w:r>
      <w:r>
        <w:rPr>
          <w:rFonts w:hint="eastAsia" w:ascii="微软雅黑" w:hAnsi="微软雅黑" w:eastAsia="微软雅黑" w:cs="微软雅黑"/>
          <w:sz w:val="28"/>
          <w:szCs w:val="28"/>
        </w:rPr>
        <w:t>进行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受理</w:t>
      </w:r>
      <w:r>
        <w:rPr>
          <w:rFonts w:hint="eastAsia" w:ascii="微软雅黑" w:hAnsi="微软雅黑" w:eastAsia="微软雅黑" w:cs="微软雅黑"/>
          <w:sz w:val="28"/>
          <w:szCs w:val="28"/>
        </w:rPr>
        <w:t>前，如果需要修改律师考核登记表，可以先“撤回考核申请表”，再进行重新填报并提交。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如果律师事务所提交的确认表被协会或者联络处驳回，可在律师事务所会员中心的【首页控制台】、【查询&amp;打印】查看驳回原因，如下图所示：</w:t>
      </w:r>
    </w:p>
    <w:p>
      <w:pPr>
        <w:spacing w:line="360" w:lineRule="auto"/>
        <w:rPr>
          <w:rFonts w:hint="eastAsia" w:ascii="微软雅黑" w:hAnsi="微软雅黑" w:eastAsia="微软雅黑" w:cs="微软雅黑"/>
          <w:sz w:val="28"/>
          <w:szCs w:val="28"/>
        </w:rPr>
      </w:pPr>
      <w:r>
        <w:drawing>
          <wp:inline distT="0" distB="0" distL="114300" distR="114300">
            <wp:extent cx="5269230" cy="3387090"/>
            <wp:effectExtent l="0" t="0" r="7620" b="3810"/>
            <wp:docPr id="12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4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3387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numPr>
          <w:ilvl w:val="0"/>
          <w:numId w:val="1"/>
        </w:numP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律师会费减免申请表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微软雅黑" w:hAnsi="微软雅黑" w:eastAsia="微软雅黑" w:cs="微软雅黑"/>
          <w:sz w:val="28"/>
          <w:szCs w:val="28"/>
          <w:lang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此栏用于律师事务所查看</w:t>
      </w:r>
      <w:r>
        <w:rPr>
          <w:rFonts w:hint="eastAsia" w:ascii="微软雅黑" w:hAnsi="微软雅黑" w:eastAsia="微软雅黑" w:cs="微软雅黑"/>
          <w:sz w:val="28"/>
          <w:szCs w:val="28"/>
          <w:lang w:eastAsia="zh-CN"/>
        </w:rPr>
        <w:t>所内律师申请“会费减免申请”的信息，如下图所示：</w:t>
      </w:r>
    </w:p>
    <w:p>
      <w:pPr>
        <w:bidi w:val="0"/>
        <w:rPr>
          <w:rFonts w:hint="eastAsia" w:ascii="微软雅黑" w:hAnsi="微软雅黑" w:eastAsia="微软雅黑" w:cs="微软雅黑"/>
          <w:sz w:val="28"/>
          <w:szCs w:val="28"/>
          <w:lang w:val="en-GB"/>
        </w:rPr>
      </w:pPr>
      <w:r>
        <w:drawing>
          <wp:inline distT="0" distB="0" distL="114300" distR="114300">
            <wp:extent cx="5267325" cy="3130550"/>
            <wp:effectExtent l="0" t="0" r="9525" b="12700"/>
            <wp:docPr id="13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5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313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rPr>
          <w:rFonts w:hint="eastAsia" w:ascii="微软雅黑" w:hAnsi="微软雅黑" w:eastAsia="微软雅黑" w:cs="微软雅黑"/>
          <w:sz w:val="28"/>
          <w:szCs w:val="28"/>
          <w:lang w:val="en-GB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六、</w:t>
      </w:r>
      <w:r>
        <w:rPr>
          <w:rFonts w:hint="eastAsia" w:ascii="微软雅黑" w:hAnsi="微软雅黑" w:eastAsia="微软雅黑" w:cs="微软雅黑"/>
          <w:sz w:val="28"/>
          <w:szCs w:val="28"/>
          <w:lang w:val="en-GB"/>
        </w:rPr>
        <w:t>会费明细</w:t>
      </w:r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用于律师事务所查看律师事务所应交会费明细单，如下图所示：</w:t>
      </w:r>
    </w:p>
    <w:p>
      <w:pPr>
        <w:spacing w:line="360" w:lineRule="auto"/>
        <w:rPr>
          <w:rFonts w:hint="eastAsia" w:ascii="微软雅黑" w:hAnsi="微软雅黑" w:eastAsia="微软雅黑" w:cs="微软雅黑"/>
          <w:sz w:val="28"/>
          <w:szCs w:val="28"/>
        </w:rPr>
      </w:pPr>
      <w:r>
        <w:drawing>
          <wp:inline distT="0" distB="0" distL="114300" distR="114300">
            <wp:extent cx="5263515" cy="3456305"/>
            <wp:effectExtent l="0" t="0" r="13335" b="10795"/>
            <wp:docPr id="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3456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3" w:name="_GoBack"/>
      <w:bookmarkEnd w:id="3"/>
    </w:p>
    <w:p>
      <w:pPr>
        <w:spacing w:line="360" w:lineRule="auto"/>
        <w:ind w:firstLine="420"/>
        <w:rPr>
          <w:rFonts w:hint="eastAsia" w:ascii="微软雅黑" w:hAnsi="微软雅黑" w:eastAsia="微软雅黑" w:cs="微软雅黑"/>
          <w:sz w:val="28"/>
          <w:szCs w:val="28"/>
          <w:lang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  <w:lang w:eastAsia="zh-CN"/>
        </w:rPr>
        <w:t>会费减免申请在协会审核通过后，会费明细会相应更新。</w:t>
      </w:r>
    </w:p>
    <w:p>
      <w:pPr>
        <w:pStyle w:val="2"/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七、公益法律服务上报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微软雅黑" w:hAnsi="微软雅黑" w:eastAsia="微软雅黑" w:cs="微软雅黑"/>
          <w:color w:val="FF0000"/>
          <w:sz w:val="28"/>
          <w:szCs w:val="28"/>
          <w:lang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  <w:lang w:eastAsia="zh-CN"/>
        </w:rPr>
        <w:t>律所中律师填写完成公益法律服务情况后，会集中展示在律所公益法律服务情况中，律所需要选择“上报”按钮。</w:t>
      </w:r>
      <w:r>
        <w:rPr>
          <w:rFonts w:hint="eastAsia" w:ascii="微软雅黑" w:hAnsi="微软雅黑" w:eastAsia="微软雅黑" w:cs="微软雅黑"/>
          <w:color w:val="FF0000"/>
          <w:sz w:val="28"/>
          <w:szCs w:val="28"/>
          <w:lang w:eastAsia="zh-CN"/>
        </w:rPr>
        <w:t>上报完成后才会计入律师的公益法律服务时长。</w:t>
      </w:r>
    </w:p>
    <w:p>
      <w:pPr>
        <w:rPr>
          <w:rFonts w:hint="eastAsia" w:ascii="微软雅黑" w:hAnsi="微软雅黑" w:eastAsia="微软雅黑" w:cs="微软雅黑"/>
          <w:sz w:val="28"/>
          <w:szCs w:val="28"/>
        </w:rPr>
      </w:pPr>
      <w:r>
        <w:drawing>
          <wp:inline distT="0" distB="0" distL="114300" distR="114300">
            <wp:extent cx="5267325" cy="4359275"/>
            <wp:effectExtent l="0" t="0" r="9525" b="3175"/>
            <wp:docPr id="16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7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435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ascii="微软雅黑" w:hAnsi="微软雅黑" w:eastAsia="微软雅黑" w:cs="微软雅黑"/>
          <w:sz w:val="28"/>
          <w:szCs w:val="28"/>
          <w:lang w:eastAsia="zh-CN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pgNumType w:start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  <w:p>
    <w:pPr>
      <w:pStyle w:val="5"/>
    </w:pPr>
  </w:p>
  <w:p>
    <w:pPr>
      <w:pStyle w:val="20"/>
      <w:tabs>
        <w:tab w:val="left" w:pos="7415"/>
      </w:tabs>
    </w:pPr>
    <w:r>
      <w:rPr>
        <w:rFonts w:hint="eastAsia" w:asciiTheme="majorEastAsia" w:hAnsiTheme="majorEastAsia" w:eastAsiaTheme="majorEastAsia" w:cstheme="majorEastAsia"/>
        <w:color w:val="auto"/>
        <w:sz w:val="18"/>
        <w:szCs w:val="22"/>
        <w:lang w:val="zh-CN"/>
      </w:rPr>
      <w:t>上海同道信息技术有限公司 TEL：400-</w:t>
    </w:r>
    <w:r>
      <w:rPr>
        <w:rFonts w:hint="eastAsia" w:asciiTheme="majorEastAsia" w:hAnsiTheme="majorEastAsia" w:eastAsiaTheme="majorEastAsia" w:cstheme="majorEastAsia"/>
        <w:color w:val="auto"/>
        <w:sz w:val="18"/>
        <w:szCs w:val="22"/>
        <w:lang w:val="en-US" w:eastAsia="zh-CN"/>
      </w:rPr>
      <w:t>052</w:t>
    </w:r>
    <w:r>
      <w:rPr>
        <w:rFonts w:hint="eastAsia" w:asciiTheme="majorEastAsia" w:hAnsiTheme="majorEastAsia" w:eastAsiaTheme="majorEastAsia" w:cstheme="majorEastAsia"/>
        <w:color w:val="auto"/>
        <w:sz w:val="18"/>
        <w:szCs w:val="22"/>
        <w:lang w:val="zh-CN"/>
      </w:rPr>
      <w:t>-</w:t>
    </w:r>
    <w:r>
      <w:rPr>
        <w:rFonts w:hint="eastAsia" w:asciiTheme="majorEastAsia" w:hAnsiTheme="majorEastAsia" w:eastAsiaTheme="majorEastAsia" w:cstheme="majorEastAsia"/>
        <w:color w:val="auto"/>
        <w:sz w:val="18"/>
        <w:szCs w:val="22"/>
        <w:lang w:val="en-US" w:eastAsia="zh-CN"/>
      </w:rPr>
      <w:t>9602</w:t>
    </w:r>
    <w:r>
      <w:rPr>
        <w:rFonts w:hint="eastAsia" w:ascii="宋体" w:hAnsi="宋体" w:eastAsia="宋体" w:cs="宋体"/>
        <w:szCs w:val="24"/>
        <w:lang w:val="zh-CN"/>
      </w:rPr>
      <w:tab/>
    </w:r>
    <w:r>
      <w:rPr>
        <w:rFonts w:ascii="宋体" w:hAnsi="宋体" w:eastAsia="宋体" w:cs="宋体"/>
        <w:szCs w:val="24"/>
        <w:lang w:val="zh-CN"/>
      </w:rPr>
      <w:t xml:space="preserve"> </w:t>
    </w:r>
    <w:r>
      <w:rPr>
        <w:rFonts w:ascii="宋体" w:hAnsi="宋体" w:eastAsia="宋体" w:cs="宋体"/>
        <w:b/>
        <w:bCs/>
        <w:szCs w:val="24"/>
        <w:lang w:val="zh-CN"/>
      </w:rPr>
      <w:fldChar w:fldCharType="begin"/>
    </w:r>
    <w:r>
      <w:rPr>
        <w:rFonts w:ascii="宋体" w:hAnsi="宋体" w:eastAsia="宋体" w:cs="宋体"/>
        <w:b/>
        <w:bCs/>
        <w:szCs w:val="24"/>
        <w:lang w:val="zh-CN"/>
      </w:rPr>
      <w:instrText xml:space="preserve">PAGE  \* Arabic  \* MERGEFORMAT</w:instrText>
    </w:r>
    <w:r>
      <w:rPr>
        <w:rFonts w:ascii="宋体" w:hAnsi="宋体" w:eastAsia="宋体" w:cs="宋体"/>
        <w:b/>
        <w:bCs/>
        <w:szCs w:val="24"/>
        <w:lang w:val="zh-CN"/>
      </w:rPr>
      <w:fldChar w:fldCharType="separate"/>
    </w:r>
    <w:r>
      <w:rPr>
        <w:rFonts w:ascii="宋体" w:hAnsi="宋体" w:eastAsia="宋体" w:cs="宋体"/>
        <w:b/>
        <w:bCs/>
        <w:szCs w:val="24"/>
        <w:lang w:val="zh-CN"/>
      </w:rPr>
      <w:t>5</w:t>
    </w:r>
    <w:r>
      <w:rPr>
        <w:rFonts w:ascii="宋体" w:hAnsi="宋体" w:eastAsia="宋体" w:cs="宋体"/>
        <w:b/>
        <w:bCs/>
        <w:szCs w:val="24"/>
        <w:lang w:val="zh-CN"/>
      </w:rPr>
      <w:fldChar w:fldCharType="end"/>
    </w:r>
    <w:r>
      <w:rPr>
        <w:rFonts w:ascii="宋体" w:hAnsi="宋体" w:eastAsia="宋体" w:cs="宋体"/>
        <w:szCs w:val="24"/>
        <w:lang w:val="zh-CN"/>
      </w:rPr>
      <w:t xml:space="preserve"> / </w:t>
    </w:r>
    <w:r>
      <w:rPr>
        <w:rFonts w:ascii="宋体" w:hAnsi="宋体" w:eastAsia="宋体" w:cs="宋体"/>
        <w:b/>
        <w:bCs/>
        <w:szCs w:val="24"/>
        <w:lang w:val="zh-CN"/>
      </w:rPr>
      <w:fldChar w:fldCharType="begin"/>
    </w:r>
    <w:r>
      <w:rPr>
        <w:rFonts w:ascii="宋体" w:hAnsi="宋体" w:eastAsia="宋体" w:cs="宋体"/>
        <w:b/>
        <w:bCs/>
        <w:szCs w:val="24"/>
        <w:lang w:val="zh-CN"/>
      </w:rPr>
      <w:instrText xml:space="preserve">NUMPAGES  \* Arabic  \* MERGEFORMAT</w:instrText>
    </w:r>
    <w:r>
      <w:rPr>
        <w:rFonts w:ascii="宋体" w:hAnsi="宋体" w:eastAsia="宋体" w:cs="宋体"/>
        <w:b/>
        <w:bCs/>
        <w:szCs w:val="24"/>
        <w:lang w:val="zh-CN"/>
      </w:rPr>
      <w:fldChar w:fldCharType="separate"/>
    </w:r>
    <w:r>
      <w:rPr>
        <w:rFonts w:ascii="宋体" w:hAnsi="宋体" w:eastAsia="宋体" w:cs="宋体"/>
        <w:b/>
        <w:bCs/>
        <w:szCs w:val="24"/>
        <w:lang w:val="zh-CN"/>
      </w:rPr>
      <w:t>10</w:t>
    </w:r>
    <w:r>
      <w:rPr>
        <w:rFonts w:ascii="宋体" w:hAnsi="宋体" w:eastAsia="宋体" w:cs="宋体"/>
        <w:b/>
        <w:bCs/>
        <w:szCs w:val="24"/>
        <w:lang w:val="zh-CN"/>
      </w:rPr>
      <w:fldChar w:fldCharType="end"/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DB47814"/>
    <w:multiLevelType w:val="singleLevel"/>
    <w:tmpl w:val="DDB47814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jg0YjAwODExNmJiYjcyMjQ1ZWFiMzU1ODIyOTZiMzgifQ=="/>
  </w:docVars>
  <w:rsids>
    <w:rsidRoot w:val="0056669B"/>
    <w:rsid w:val="00003359"/>
    <w:rsid w:val="000B35B8"/>
    <w:rsid w:val="00115E22"/>
    <w:rsid w:val="001D5606"/>
    <w:rsid w:val="00213A21"/>
    <w:rsid w:val="00214764"/>
    <w:rsid w:val="002601A8"/>
    <w:rsid w:val="0027777C"/>
    <w:rsid w:val="00286080"/>
    <w:rsid w:val="002A282A"/>
    <w:rsid w:val="002E0DF7"/>
    <w:rsid w:val="00340A54"/>
    <w:rsid w:val="00364641"/>
    <w:rsid w:val="00447E70"/>
    <w:rsid w:val="00467CDA"/>
    <w:rsid w:val="00506860"/>
    <w:rsid w:val="00522B2B"/>
    <w:rsid w:val="00563937"/>
    <w:rsid w:val="0056669B"/>
    <w:rsid w:val="00583ABA"/>
    <w:rsid w:val="007168A3"/>
    <w:rsid w:val="007A21BA"/>
    <w:rsid w:val="00827B1A"/>
    <w:rsid w:val="00941D69"/>
    <w:rsid w:val="009660F4"/>
    <w:rsid w:val="00AD5BFA"/>
    <w:rsid w:val="00AE3C10"/>
    <w:rsid w:val="00BB3F2C"/>
    <w:rsid w:val="00BC6087"/>
    <w:rsid w:val="00BE1B8A"/>
    <w:rsid w:val="00C754C0"/>
    <w:rsid w:val="00D93F90"/>
    <w:rsid w:val="00DC1DDE"/>
    <w:rsid w:val="00DD789C"/>
    <w:rsid w:val="00DE2F5A"/>
    <w:rsid w:val="00E12426"/>
    <w:rsid w:val="00E304CA"/>
    <w:rsid w:val="00E548FD"/>
    <w:rsid w:val="00EC5FEC"/>
    <w:rsid w:val="00EC7D8A"/>
    <w:rsid w:val="00EE5AD5"/>
    <w:rsid w:val="00F24ED7"/>
    <w:rsid w:val="00F41D29"/>
    <w:rsid w:val="00F46B3B"/>
    <w:rsid w:val="00F83ABD"/>
    <w:rsid w:val="00FC16DA"/>
    <w:rsid w:val="00FD55E3"/>
    <w:rsid w:val="020A2DD8"/>
    <w:rsid w:val="03DD7171"/>
    <w:rsid w:val="05025068"/>
    <w:rsid w:val="078607D5"/>
    <w:rsid w:val="08275C34"/>
    <w:rsid w:val="086734A3"/>
    <w:rsid w:val="08FF7F29"/>
    <w:rsid w:val="0E0804D4"/>
    <w:rsid w:val="0F574A82"/>
    <w:rsid w:val="11501479"/>
    <w:rsid w:val="13203E0F"/>
    <w:rsid w:val="1EA873C5"/>
    <w:rsid w:val="231F1259"/>
    <w:rsid w:val="26920223"/>
    <w:rsid w:val="26F850BE"/>
    <w:rsid w:val="2850653D"/>
    <w:rsid w:val="2EFA733D"/>
    <w:rsid w:val="39310F59"/>
    <w:rsid w:val="3E4F260A"/>
    <w:rsid w:val="3F752C88"/>
    <w:rsid w:val="404B0EE6"/>
    <w:rsid w:val="426259B8"/>
    <w:rsid w:val="45CE4C71"/>
    <w:rsid w:val="52F36878"/>
    <w:rsid w:val="53E40939"/>
    <w:rsid w:val="57A616DB"/>
    <w:rsid w:val="5B5065D6"/>
    <w:rsid w:val="5BFB11CB"/>
    <w:rsid w:val="5E3453DD"/>
    <w:rsid w:val="60B764FE"/>
    <w:rsid w:val="62E753EB"/>
    <w:rsid w:val="64472115"/>
    <w:rsid w:val="663E225D"/>
    <w:rsid w:val="6A3811C4"/>
    <w:rsid w:val="6D1F73DC"/>
    <w:rsid w:val="6D6D18A1"/>
    <w:rsid w:val="748B58E5"/>
    <w:rsid w:val="76D4258A"/>
    <w:rsid w:val="76FA74A7"/>
    <w:rsid w:val="7D620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7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6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toc 3"/>
    <w:basedOn w:val="1"/>
    <w:next w:val="1"/>
    <w:unhideWhenUsed/>
    <w:qFormat/>
    <w:uiPriority w:val="39"/>
    <w:pPr>
      <w:tabs>
        <w:tab w:val="right" w:leader="dot" w:pos="8296"/>
      </w:tabs>
      <w:spacing w:line="480" w:lineRule="auto"/>
      <w:ind w:left="840" w:leftChars="400"/>
    </w:pPr>
  </w:style>
  <w:style w:type="paragraph" w:styleId="5">
    <w:name w:val="footer"/>
    <w:basedOn w:val="1"/>
    <w:link w:val="15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toc 1"/>
    <w:basedOn w:val="1"/>
    <w:next w:val="1"/>
    <w:autoRedefine/>
    <w:unhideWhenUsed/>
    <w:qFormat/>
    <w:uiPriority w:val="39"/>
  </w:style>
  <w:style w:type="paragraph" w:styleId="8">
    <w:name w:val="toc 2"/>
    <w:basedOn w:val="1"/>
    <w:next w:val="1"/>
    <w:unhideWhenUsed/>
    <w:qFormat/>
    <w:uiPriority w:val="39"/>
    <w:pPr>
      <w:tabs>
        <w:tab w:val="right" w:leader="dot" w:pos="8296"/>
      </w:tabs>
      <w:spacing w:line="480" w:lineRule="auto"/>
      <w:ind w:left="420" w:leftChars="200"/>
    </w:pPr>
  </w:style>
  <w:style w:type="paragraph" w:styleId="9">
    <w:name w:val="Title"/>
    <w:basedOn w:val="1"/>
    <w:next w:val="1"/>
    <w:link w:val="18"/>
    <w:autoRedefine/>
    <w:qFormat/>
    <w:uiPriority w:val="10"/>
    <w:pPr>
      <w:spacing w:before="240" w:after="60"/>
      <w:jc w:val="center"/>
      <w:outlineLvl w:val="0"/>
    </w:pPr>
    <w:rPr>
      <w:rFonts w:eastAsia="宋体" w:asciiTheme="majorHAnsi" w:hAnsiTheme="majorHAnsi" w:cstheme="majorBidi"/>
      <w:b/>
      <w:bCs/>
      <w:sz w:val="32"/>
      <w:szCs w:val="32"/>
    </w:rPr>
  </w:style>
  <w:style w:type="character" w:styleId="12">
    <w:name w:val="FollowedHyperlink"/>
    <w:basedOn w:val="11"/>
    <w:unhideWhenUsed/>
    <w:qFormat/>
    <w:uiPriority w:val="99"/>
    <w:rPr>
      <w:color w:val="954F72" w:themeColor="followedHyperlink"/>
      <w:u w:val="single"/>
      <w14:textFill>
        <w14:solidFill>
          <w14:schemeClr w14:val="folHlink"/>
        </w14:solidFill>
      </w14:textFill>
    </w:rPr>
  </w:style>
  <w:style w:type="character" w:styleId="13">
    <w:name w:val="Hyperlink"/>
    <w:basedOn w:val="11"/>
    <w:autoRedefine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14">
    <w:name w:val="页眉 Char"/>
    <w:basedOn w:val="11"/>
    <w:link w:val="6"/>
    <w:autoRedefine/>
    <w:qFormat/>
    <w:uiPriority w:val="99"/>
    <w:rPr>
      <w:sz w:val="18"/>
      <w:szCs w:val="18"/>
    </w:rPr>
  </w:style>
  <w:style w:type="character" w:customStyle="1" w:styleId="15">
    <w:name w:val="页脚 Char"/>
    <w:basedOn w:val="11"/>
    <w:link w:val="5"/>
    <w:autoRedefine/>
    <w:qFormat/>
    <w:uiPriority w:val="99"/>
    <w:rPr>
      <w:sz w:val="18"/>
      <w:szCs w:val="18"/>
    </w:rPr>
  </w:style>
  <w:style w:type="character" w:customStyle="1" w:styleId="16">
    <w:name w:val="标题 2 Char"/>
    <w:basedOn w:val="11"/>
    <w:link w:val="3"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17">
    <w:name w:val="标题 1 Char"/>
    <w:basedOn w:val="11"/>
    <w:link w:val="2"/>
    <w:autoRedefine/>
    <w:qFormat/>
    <w:uiPriority w:val="9"/>
    <w:rPr>
      <w:b/>
      <w:bCs/>
      <w:kern w:val="44"/>
      <w:sz w:val="44"/>
      <w:szCs w:val="44"/>
    </w:rPr>
  </w:style>
  <w:style w:type="character" w:customStyle="1" w:styleId="18">
    <w:name w:val="标题 Char"/>
    <w:basedOn w:val="11"/>
    <w:link w:val="9"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paragraph" w:customStyle="1" w:styleId="19">
    <w:name w:val="TOC Heading"/>
    <w:basedOn w:val="2"/>
    <w:next w:val="1"/>
    <w:autoRedefine/>
    <w:unhideWhenUsed/>
    <w:qFormat/>
    <w:uiPriority w:val="39"/>
    <w:pPr>
      <w:widowControl/>
      <w:spacing w:before="240" w:after="0" w:line="259" w:lineRule="auto"/>
      <w:jc w:val="left"/>
      <w:outlineLvl w:val="9"/>
    </w:pPr>
    <w:rPr>
      <w:rFonts w:asciiTheme="majorHAnsi" w:hAnsiTheme="majorHAnsi" w:eastAsiaTheme="majorEastAsia" w:cstheme="majorBidi"/>
      <w:b w:val="0"/>
      <w:bCs w:val="0"/>
      <w:color w:val="2E75B6" w:themeColor="accent1" w:themeShade="BF"/>
      <w:kern w:val="0"/>
      <w:sz w:val="32"/>
      <w:szCs w:val="32"/>
    </w:rPr>
  </w:style>
  <w:style w:type="paragraph" w:customStyle="1" w:styleId="20">
    <w:name w:val="Footer Even"/>
    <w:basedOn w:val="1"/>
    <w:autoRedefine/>
    <w:qFormat/>
    <w:uiPriority w:val="0"/>
    <w:pPr>
      <w:widowControl/>
      <w:pBdr>
        <w:top w:val="single" w:color="5B9BD5" w:themeColor="accent1" w:sz="4" w:space="1"/>
      </w:pBdr>
      <w:spacing w:after="180" w:line="264" w:lineRule="auto"/>
      <w:jc w:val="left"/>
    </w:pPr>
    <w:rPr>
      <w:color w:val="44546A" w:themeColor="text2"/>
      <w:kern w:val="0"/>
      <w:sz w:val="20"/>
      <w:szCs w:val="23"/>
      <w14:textFill>
        <w14:solidFill>
          <w14:schemeClr w14:val="tx2"/>
        </w14:solidFill>
      </w14:textFill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9" Type="http://schemas.openxmlformats.org/officeDocument/2006/relationships/fontTable" Target="fontTable.xml"/><Relationship Id="rId18" Type="http://schemas.openxmlformats.org/officeDocument/2006/relationships/numbering" Target="numbering.xml"/><Relationship Id="rId17" Type="http://schemas.openxmlformats.org/officeDocument/2006/relationships/customXml" Target="../customXml/item1.xml"/><Relationship Id="rId16" Type="http://schemas.openxmlformats.org/officeDocument/2006/relationships/image" Target="media/image12.png"/><Relationship Id="rId15" Type="http://schemas.openxmlformats.org/officeDocument/2006/relationships/image" Target="media/image11.png"/><Relationship Id="rId14" Type="http://schemas.openxmlformats.org/officeDocument/2006/relationships/image" Target="media/image10.png"/><Relationship Id="rId13" Type="http://schemas.openxmlformats.org/officeDocument/2006/relationships/image" Target="media/image9.png"/><Relationship Id="rId12" Type="http://schemas.openxmlformats.org/officeDocument/2006/relationships/image" Target="media/image8.png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mycomputer</Company>
  <Pages>15</Pages>
  <Words>2104</Words>
  <Characters>2156</Characters>
  <Lines>14</Lines>
  <Paragraphs>4</Paragraphs>
  <TotalTime>21</TotalTime>
  <ScaleCrop>false</ScaleCrop>
  <LinksUpToDate>false</LinksUpToDate>
  <CharactersWithSpaces>2158</CharactersWithSpaces>
  <Application>WPS Office_12.1.0.16412_F1E327BC-269C-435d-A152-05C5408002CA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2017-02-24T11:44:00Z</dcterms:created>
  <dc:creator>Administrator</dc:creator>
  <cp:lastModifiedBy>范鑫鑫</cp:lastModifiedBy>
  <dcterms:modified xsi:type="dcterms:W3CDTF">2025-03-21T03:26:40Z</dcterms:modified>
  <cp:revision>19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2052-12.1.0.16412</vt:lpwstr>
  </property>
  <property fmtid="{D5CDD505-2E9C-101B-9397-08002B2CF9AE}" pid="3" name="ICV">
    <vt:lpwstr>1C758C3CCF2A40BFA589C63EB7190D51</vt:lpwstr>
  </property>
</Properties>
</file>