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24438C">
      <w:pPr>
        <w:jc w:val="left"/>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附件1</w:t>
      </w:r>
    </w:p>
    <w:p w14:paraId="095C3D0C">
      <w:pPr>
        <w:keepNext w:val="0"/>
        <w:keepLines w:val="0"/>
        <w:pageBreakBefore w:val="0"/>
        <w:widowControl/>
        <w:kinsoku/>
        <w:wordWrap/>
        <w:overflowPunct/>
        <w:topLinePunct w:val="0"/>
        <w:autoSpaceDE/>
        <w:autoSpaceDN/>
        <w:bidi w:val="0"/>
        <w:adjustRightInd/>
        <w:snapToGrid/>
        <w:spacing w:line="560" w:lineRule="exact"/>
        <w:ind w:firstLine="0" w:firstLineChars="0"/>
        <w:jc w:val="center"/>
        <w:textAlignment w:val="baseline"/>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2025年浙江律师获奖论文作者名单</w:t>
      </w:r>
    </w:p>
    <w:tbl>
      <w:tblPr>
        <w:tblStyle w:val="9"/>
        <w:tblW w:w="5240" w:type="pct"/>
        <w:tblInd w:w="-4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0"/>
        <w:gridCol w:w="3937"/>
        <w:gridCol w:w="4428"/>
      </w:tblGrid>
      <w:tr w14:paraId="3C249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000" w:type="pct"/>
            <w:gridSpan w:val="3"/>
            <w:vAlign w:val="top"/>
          </w:tcPr>
          <w:p w14:paraId="1202E30A">
            <w:pPr>
              <w:widowControl w:val="0"/>
              <w:jc w:val="both"/>
              <w:rPr>
                <w:rFonts w:hint="default" w:asciiTheme="minorEastAsia" w:hAnsiTheme="minorEastAsia" w:eastAsiaTheme="minorEastAsia" w:cstheme="minorEastAsia"/>
                <w:b/>
                <w:bCs/>
                <w:sz w:val="40"/>
                <w:szCs w:val="40"/>
                <w:vertAlign w:val="baseline"/>
                <w:lang w:val="en-US" w:eastAsia="zh-CN"/>
              </w:rPr>
            </w:pPr>
            <w:r>
              <w:rPr>
                <w:rFonts w:hint="eastAsia" w:ascii="黑体" w:hAnsi="黑体" w:eastAsia="黑体" w:cs="黑体"/>
                <w:b w:val="0"/>
                <w:bCs w:val="0"/>
                <w:sz w:val="32"/>
                <w:szCs w:val="32"/>
                <w:vertAlign w:val="baseline"/>
                <w:lang w:val="en-US" w:eastAsia="zh-CN"/>
              </w:rPr>
              <w:t>一等奖论文</w:t>
            </w:r>
          </w:p>
        </w:tc>
      </w:tr>
      <w:tr w14:paraId="01211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649504B1">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邰储仕</w:t>
            </w:r>
          </w:p>
        </w:tc>
        <w:tc>
          <w:tcPr>
            <w:tcW w:w="2073" w:type="pct"/>
            <w:shd w:val="clear" w:color="auto" w:fill="auto"/>
            <w:vAlign w:val="center"/>
          </w:tcPr>
          <w:p w14:paraId="6D80310E">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浙江清溪律师事务所</w:t>
            </w:r>
          </w:p>
        </w:tc>
        <w:tc>
          <w:tcPr>
            <w:tcW w:w="2331" w:type="pct"/>
            <w:shd w:val="clear" w:color="auto" w:fill="auto"/>
            <w:vAlign w:val="center"/>
          </w:tcPr>
          <w:p w14:paraId="38BE0CBD">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面向低空经济的商事仲裁制度调适革新——兼论低空经济的法律服务因应</w:t>
            </w:r>
          </w:p>
        </w:tc>
      </w:tr>
      <w:tr w14:paraId="72B1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1611EB78">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朱佩珊</w:t>
            </w:r>
            <w:r>
              <w:rPr>
                <w:rFonts w:hint="eastAsia" w:ascii="仿宋_GB2312" w:hAnsi="仿宋_GB2312" w:eastAsia="仿宋_GB2312" w:cs="仿宋_GB2312"/>
                <w:i w:val="0"/>
                <w:iCs w:val="0"/>
                <w:color w:val="000000"/>
                <w:kern w:val="0"/>
                <w:sz w:val="28"/>
                <w:szCs w:val="28"/>
                <w:u w:val="none"/>
                <w:lang w:val="en-US" w:eastAsia="zh-CN" w:bidi="ar"/>
              </w:rPr>
              <w:br w:type="textWrapping"/>
            </w:r>
            <w:r>
              <w:rPr>
                <w:rFonts w:hint="eastAsia" w:ascii="仿宋_GB2312" w:hAnsi="仿宋_GB2312" w:eastAsia="仿宋_GB2312" w:cs="仿宋_GB2312"/>
                <w:i w:val="0"/>
                <w:iCs w:val="0"/>
                <w:color w:val="000000"/>
                <w:kern w:val="0"/>
                <w:sz w:val="28"/>
                <w:szCs w:val="28"/>
                <w:u w:val="none"/>
                <w:lang w:val="en-US" w:eastAsia="zh-CN" w:bidi="ar"/>
              </w:rPr>
              <w:t>张欣怡</w:t>
            </w:r>
          </w:p>
        </w:tc>
        <w:tc>
          <w:tcPr>
            <w:tcW w:w="2073" w:type="pct"/>
            <w:shd w:val="clear" w:color="auto" w:fill="auto"/>
            <w:vAlign w:val="center"/>
          </w:tcPr>
          <w:p w14:paraId="7FCE436E">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浙江振进律师事务所</w:t>
            </w:r>
          </w:p>
        </w:tc>
        <w:tc>
          <w:tcPr>
            <w:tcW w:w="2331" w:type="pct"/>
            <w:shd w:val="clear" w:color="auto" w:fill="auto"/>
            <w:vAlign w:val="center"/>
          </w:tcPr>
          <w:p w14:paraId="1B903976">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企业境外投资备案瑕疵的风险传导与合规治理——以“三维九步”模型为框架</w:t>
            </w:r>
          </w:p>
        </w:tc>
      </w:tr>
      <w:tr w14:paraId="76E7E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414868DD">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卫欣园</w:t>
            </w:r>
            <w:r>
              <w:rPr>
                <w:rFonts w:hint="eastAsia" w:ascii="仿宋_GB2312" w:hAnsi="仿宋_GB2312" w:eastAsia="仿宋_GB2312" w:cs="仿宋_GB2312"/>
                <w:i w:val="0"/>
                <w:iCs w:val="0"/>
                <w:color w:val="000000"/>
                <w:kern w:val="0"/>
                <w:sz w:val="28"/>
                <w:szCs w:val="28"/>
                <w:u w:val="none"/>
                <w:lang w:val="en-US" w:eastAsia="zh-CN" w:bidi="ar"/>
              </w:rPr>
              <w:br w:type="textWrapping"/>
            </w:r>
            <w:r>
              <w:rPr>
                <w:rFonts w:hint="eastAsia" w:ascii="仿宋_GB2312" w:hAnsi="仿宋_GB2312" w:eastAsia="仿宋_GB2312" w:cs="仿宋_GB2312"/>
                <w:i w:val="0"/>
                <w:iCs w:val="0"/>
                <w:color w:val="000000"/>
                <w:kern w:val="0"/>
                <w:sz w:val="28"/>
                <w:szCs w:val="28"/>
                <w:u w:val="none"/>
                <w:lang w:val="en-US" w:eastAsia="zh-CN" w:bidi="ar"/>
              </w:rPr>
              <w:t>范卉莹</w:t>
            </w:r>
            <w:r>
              <w:rPr>
                <w:rFonts w:hint="eastAsia" w:ascii="仿宋_GB2312" w:hAnsi="仿宋_GB2312" w:eastAsia="仿宋_GB2312" w:cs="仿宋_GB2312"/>
                <w:i w:val="0"/>
                <w:iCs w:val="0"/>
                <w:color w:val="000000"/>
                <w:kern w:val="0"/>
                <w:sz w:val="28"/>
                <w:szCs w:val="28"/>
                <w:u w:val="none"/>
                <w:lang w:val="en-US" w:eastAsia="zh-CN" w:bidi="ar"/>
              </w:rPr>
              <w:br w:type="textWrapping"/>
            </w:r>
            <w:r>
              <w:rPr>
                <w:rFonts w:hint="eastAsia" w:ascii="仿宋_GB2312" w:hAnsi="仿宋_GB2312" w:eastAsia="仿宋_GB2312" w:cs="仿宋_GB2312"/>
                <w:i w:val="0"/>
                <w:iCs w:val="0"/>
                <w:color w:val="000000"/>
                <w:kern w:val="0"/>
                <w:sz w:val="28"/>
                <w:szCs w:val="28"/>
                <w:u w:val="none"/>
                <w:lang w:val="en-US" w:eastAsia="zh-CN" w:bidi="ar"/>
              </w:rPr>
              <w:t>赵  耀</w:t>
            </w:r>
          </w:p>
        </w:tc>
        <w:tc>
          <w:tcPr>
            <w:tcW w:w="2073" w:type="pct"/>
            <w:shd w:val="clear" w:color="auto" w:fill="auto"/>
            <w:vAlign w:val="center"/>
          </w:tcPr>
          <w:p w14:paraId="7DF5EA9E">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浙江六和（宁波）律师事务所</w:t>
            </w:r>
          </w:p>
        </w:tc>
        <w:tc>
          <w:tcPr>
            <w:tcW w:w="2331" w:type="pct"/>
            <w:shd w:val="clear" w:color="auto" w:fill="auto"/>
            <w:vAlign w:val="center"/>
          </w:tcPr>
          <w:p w14:paraId="052DE58A">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药品专利链接制度的完善路径研究——以促进医药产业高质量发展为视角</w:t>
            </w:r>
          </w:p>
        </w:tc>
      </w:tr>
      <w:tr w14:paraId="3F23E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5" w:hRule="atLeast"/>
        </w:trPr>
        <w:tc>
          <w:tcPr>
            <w:tcW w:w="595" w:type="pct"/>
            <w:shd w:val="clear" w:color="auto" w:fill="auto"/>
            <w:vAlign w:val="center"/>
          </w:tcPr>
          <w:p w14:paraId="0073BB59">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邹毅强</w:t>
            </w:r>
          </w:p>
        </w:tc>
        <w:tc>
          <w:tcPr>
            <w:tcW w:w="2073" w:type="pct"/>
            <w:shd w:val="clear" w:color="auto" w:fill="auto"/>
            <w:vAlign w:val="center"/>
          </w:tcPr>
          <w:p w14:paraId="35E4B186">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浙江训和律师事务所</w:t>
            </w:r>
          </w:p>
        </w:tc>
        <w:tc>
          <w:tcPr>
            <w:tcW w:w="2331" w:type="pct"/>
            <w:shd w:val="clear" w:color="auto" w:fill="auto"/>
            <w:vAlign w:val="center"/>
          </w:tcPr>
          <w:p w14:paraId="2B4D85B3">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数字时代背景下数据资产出资制度之重构</w:t>
            </w:r>
          </w:p>
        </w:tc>
      </w:tr>
      <w:tr w14:paraId="3EEFF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1714AB1A">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许  曲              王姗姗</w:t>
            </w:r>
          </w:p>
        </w:tc>
        <w:tc>
          <w:tcPr>
            <w:tcW w:w="2073" w:type="pct"/>
            <w:shd w:val="clear" w:color="auto" w:fill="auto"/>
            <w:vAlign w:val="center"/>
          </w:tcPr>
          <w:p w14:paraId="17418F21">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浙江华盛律师事务所</w:t>
            </w:r>
          </w:p>
        </w:tc>
        <w:tc>
          <w:tcPr>
            <w:tcW w:w="2331" w:type="pct"/>
            <w:shd w:val="clear" w:color="auto" w:fill="auto"/>
            <w:vAlign w:val="center"/>
          </w:tcPr>
          <w:p w14:paraId="099F36F9">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生成式人工智能大模型训练的著作权法规制——从DeepSeek为代表的生成式预训练转换器分析切入</w:t>
            </w:r>
          </w:p>
        </w:tc>
      </w:tr>
      <w:tr w14:paraId="4C4CE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781E5E4B">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祝维雯                  谢丹宁</w:t>
            </w:r>
          </w:p>
        </w:tc>
        <w:tc>
          <w:tcPr>
            <w:tcW w:w="2073" w:type="pct"/>
            <w:shd w:val="clear" w:color="auto" w:fill="auto"/>
            <w:vAlign w:val="center"/>
          </w:tcPr>
          <w:p w14:paraId="0151E41C">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浙江凯麦律师事务所</w:t>
            </w:r>
          </w:p>
        </w:tc>
        <w:tc>
          <w:tcPr>
            <w:tcW w:w="2331" w:type="pct"/>
            <w:shd w:val="clear" w:color="auto" w:fill="auto"/>
            <w:vAlign w:val="center"/>
          </w:tcPr>
          <w:p w14:paraId="3E9AF6BE">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私募基金管理人信义义务的适用逻辑及司法审查路径——基于146份裁判文书的实证考察</w:t>
            </w:r>
          </w:p>
        </w:tc>
      </w:tr>
      <w:tr w14:paraId="7271D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7A42B00D">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郑金晶</w:t>
            </w:r>
          </w:p>
        </w:tc>
        <w:tc>
          <w:tcPr>
            <w:tcW w:w="2073" w:type="pct"/>
            <w:shd w:val="clear" w:color="auto" w:fill="auto"/>
            <w:vAlign w:val="center"/>
          </w:tcPr>
          <w:p w14:paraId="4BD62DE9">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浙江天册律师事务所</w:t>
            </w:r>
          </w:p>
        </w:tc>
        <w:tc>
          <w:tcPr>
            <w:tcW w:w="2331" w:type="pct"/>
            <w:shd w:val="clear" w:color="auto" w:fill="auto"/>
            <w:vAlign w:val="center"/>
          </w:tcPr>
          <w:p w14:paraId="547AF9FE">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个性化推送类算法服务中平台注意义务之重构</w:t>
            </w:r>
          </w:p>
        </w:tc>
      </w:tr>
      <w:tr w14:paraId="3E3DC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08A46F93">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周  蕾                  邱  斌                         杨  洁</w:t>
            </w:r>
          </w:p>
        </w:tc>
        <w:tc>
          <w:tcPr>
            <w:tcW w:w="2073" w:type="pct"/>
            <w:shd w:val="clear" w:color="auto" w:fill="auto"/>
            <w:vAlign w:val="center"/>
          </w:tcPr>
          <w:p w14:paraId="7D8C4E45">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浙江金道律师事务所</w:t>
            </w:r>
          </w:p>
        </w:tc>
        <w:tc>
          <w:tcPr>
            <w:tcW w:w="2331" w:type="pct"/>
            <w:shd w:val="clear" w:color="auto" w:fill="auto"/>
            <w:vAlign w:val="center"/>
          </w:tcPr>
          <w:p w14:paraId="62941875">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法治化营商环境建设背景下对赌股权回购义务履行障碍的破解——基于102份裁判文书的实证分析</w:t>
            </w:r>
          </w:p>
        </w:tc>
      </w:tr>
      <w:tr w14:paraId="5B69B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59F538B7">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连银迪</w:t>
            </w:r>
            <w:r>
              <w:rPr>
                <w:rFonts w:hint="eastAsia" w:ascii="仿宋_GB2312" w:hAnsi="仿宋_GB2312" w:eastAsia="仿宋_GB2312" w:cs="仿宋_GB2312"/>
                <w:i w:val="0"/>
                <w:iCs w:val="0"/>
                <w:color w:val="000000"/>
                <w:kern w:val="0"/>
                <w:sz w:val="28"/>
                <w:szCs w:val="28"/>
                <w:u w:val="none"/>
                <w:lang w:val="en-US" w:eastAsia="zh-CN" w:bidi="ar"/>
              </w:rPr>
              <w:br w:type="textWrapping"/>
            </w:r>
            <w:r>
              <w:rPr>
                <w:rFonts w:hint="eastAsia" w:ascii="仿宋_GB2312" w:hAnsi="仿宋_GB2312" w:eastAsia="仿宋_GB2312" w:cs="仿宋_GB2312"/>
                <w:i w:val="0"/>
                <w:iCs w:val="0"/>
                <w:color w:val="000000"/>
                <w:kern w:val="0"/>
                <w:sz w:val="28"/>
                <w:szCs w:val="28"/>
                <w:u w:val="none"/>
                <w:lang w:val="en-US" w:eastAsia="zh-CN" w:bidi="ar"/>
              </w:rPr>
              <w:t>何  玫</w:t>
            </w:r>
          </w:p>
        </w:tc>
        <w:tc>
          <w:tcPr>
            <w:tcW w:w="2073" w:type="pct"/>
            <w:shd w:val="clear" w:color="auto" w:fill="auto"/>
            <w:vAlign w:val="center"/>
          </w:tcPr>
          <w:p w14:paraId="0D5A0EA5">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北京德恒（杭州）律师事务所</w:t>
            </w:r>
          </w:p>
        </w:tc>
        <w:tc>
          <w:tcPr>
            <w:tcW w:w="2331" w:type="pct"/>
            <w:shd w:val="clear" w:color="auto" w:fill="auto"/>
            <w:vAlign w:val="center"/>
          </w:tcPr>
          <w:p w14:paraId="105F5089">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论离婚协议的撤销与配偶权利的保护——以上市公司董监高的虚假陈述赔偿责任为视角</w:t>
            </w:r>
          </w:p>
        </w:tc>
      </w:tr>
      <w:tr w14:paraId="4F287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5A1C04C0">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郑祎楠</w:t>
            </w:r>
          </w:p>
        </w:tc>
        <w:tc>
          <w:tcPr>
            <w:tcW w:w="2073" w:type="pct"/>
            <w:shd w:val="clear" w:color="auto" w:fill="auto"/>
            <w:vAlign w:val="center"/>
          </w:tcPr>
          <w:p w14:paraId="68640209">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北京大成（台州）律师事务所</w:t>
            </w:r>
          </w:p>
        </w:tc>
        <w:tc>
          <w:tcPr>
            <w:tcW w:w="2331" w:type="pct"/>
            <w:shd w:val="clear" w:color="auto" w:fill="auto"/>
            <w:vAlign w:val="center"/>
          </w:tcPr>
          <w:p w14:paraId="49398E11">
            <w:pPr>
              <w:keepNext w:val="0"/>
              <w:keepLines w:val="0"/>
              <w:pageBreakBefore w:val="0"/>
              <w:widowControl/>
              <w:suppressLineNumbers w:val="0"/>
              <w:kinsoku/>
              <w:wordWrap/>
              <w:overflowPunct/>
              <w:topLinePunct w:val="0"/>
              <w:autoSpaceDE/>
              <w:autoSpaceDN/>
              <w:bidi w:val="0"/>
              <w:adjustRightInd/>
              <w:snapToGrid/>
              <w:spacing w:line="460" w:lineRule="exact"/>
              <w:jc w:val="center"/>
              <w:textAlignment w:val="center"/>
              <w:rPr>
                <w:rFonts w:hint="eastAsia" w:ascii="仿宋_GB2312" w:hAnsi="仿宋_GB2312" w:eastAsia="仿宋_GB2312" w:cs="仿宋_GB2312"/>
                <w:i w:val="0"/>
                <w:iCs w:val="0"/>
                <w:color w:val="000000"/>
                <w:kern w:val="0"/>
                <w:sz w:val="28"/>
                <w:szCs w:val="28"/>
                <w:u w:val="none"/>
                <w:lang w:val="en-US" w:eastAsia="zh-CN" w:bidi="ar"/>
              </w:rPr>
            </w:pPr>
            <w:r>
              <w:rPr>
                <w:rFonts w:hint="eastAsia" w:ascii="仿宋_GB2312" w:hAnsi="仿宋_GB2312" w:eastAsia="仿宋_GB2312" w:cs="仿宋_GB2312"/>
                <w:i w:val="0"/>
                <w:iCs w:val="0"/>
                <w:color w:val="000000"/>
                <w:kern w:val="0"/>
                <w:sz w:val="28"/>
                <w:szCs w:val="28"/>
                <w:u w:val="none"/>
                <w:lang w:val="en-US" w:eastAsia="zh-CN" w:bidi="ar"/>
              </w:rPr>
              <w:t>论行政机关对行政协议的单方撤销权</w:t>
            </w:r>
          </w:p>
        </w:tc>
      </w:tr>
      <w:tr w14:paraId="2D6D4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5000" w:type="pct"/>
            <w:gridSpan w:val="3"/>
            <w:vAlign w:val="top"/>
          </w:tcPr>
          <w:p w14:paraId="7ECCB503">
            <w:pPr>
              <w:keepNext w:val="0"/>
              <w:keepLines w:val="0"/>
              <w:pageBreakBefore w:val="0"/>
              <w:widowControl w:val="0"/>
              <w:kinsoku/>
              <w:wordWrap/>
              <w:overflowPunct/>
              <w:topLinePunct w:val="0"/>
              <w:autoSpaceDE/>
              <w:autoSpaceDN/>
              <w:bidi w:val="0"/>
              <w:adjustRightInd/>
              <w:snapToGrid/>
              <w:spacing w:line="460" w:lineRule="exact"/>
              <w:jc w:val="both"/>
              <w:rPr>
                <w:rFonts w:hint="default" w:asciiTheme="minorEastAsia" w:hAnsiTheme="minorEastAsia" w:eastAsiaTheme="minorEastAsia" w:cstheme="minorEastAsia"/>
                <w:b/>
                <w:bCs/>
                <w:sz w:val="44"/>
                <w:szCs w:val="44"/>
                <w:vertAlign w:val="baseline"/>
                <w:lang w:val="en-US" w:eastAsia="zh-CN"/>
              </w:rPr>
            </w:pPr>
            <w:r>
              <w:rPr>
                <w:rFonts w:hint="eastAsia" w:ascii="黑体" w:hAnsi="黑体" w:eastAsia="黑体" w:cs="黑体"/>
                <w:b w:val="0"/>
                <w:bCs w:val="0"/>
                <w:sz w:val="32"/>
                <w:szCs w:val="32"/>
                <w:vertAlign w:val="baseline"/>
                <w:lang w:val="en-US" w:eastAsia="zh-CN"/>
              </w:rPr>
              <w:t>二等奖论文</w:t>
            </w:r>
          </w:p>
        </w:tc>
      </w:tr>
      <w:tr w14:paraId="78941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235E3F62">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陈  天</w:t>
            </w:r>
          </w:p>
        </w:tc>
        <w:tc>
          <w:tcPr>
            <w:tcW w:w="2073" w:type="pct"/>
            <w:shd w:val="clear" w:color="auto" w:fill="auto"/>
            <w:vAlign w:val="center"/>
          </w:tcPr>
          <w:p w14:paraId="0EA9F9F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浙江开发律师事务所</w:t>
            </w:r>
          </w:p>
        </w:tc>
        <w:tc>
          <w:tcPr>
            <w:tcW w:w="2331" w:type="pct"/>
            <w:shd w:val="clear" w:color="auto" w:fill="auto"/>
            <w:vAlign w:val="center"/>
          </w:tcPr>
          <w:p w14:paraId="1F49EE0C">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深度伪造技术的刑事风险防控体系研究——基于生成式AI的技术伦理与法律规制双重视角</w:t>
            </w:r>
          </w:p>
        </w:tc>
      </w:tr>
      <w:tr w14:paraId="1E014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10DDD470">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孟德荣                 胡  丹</w:t>
            </w:r>
          </w:p>
        </w:tc>
        <w:tc>
          <w:tcPr>
            <w:tcW w:w="2073" w:type="pct"/>
            <w:shd w:val="clear" w:color="auto" w:fill="auto"/>
            <w:vAlign w:val="center"/>
          </w:tcPr>
          <w:p w14:paraId="057C72E8">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浙江六和律师事务所</w:t>
            </w:r>
          </w:p>
        </w:tc>
        <w:tc>
          <w:tcPr>
            <w:tcW w:w="2331" w:type="pct"/>
            <w:shd w:val="clear" w:color="auto" w:fill="auto"/>
            <w:vAlign w:val="center"/>
          </w:tcPr>
          <w:p w14:paraId="7207069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生成式人工智能平台的著作权侵权责任重构与风险防范路径</w:t>
            </w:r>
          </w:p>
        </w:tc>
      </w:tr>
      <w:tr w14:paraId="6619F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27ECE54A">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洪高翔               宋群力</w:t>
            </w:r>
          </w:p>
        </w:tc>
        <w:tc>
          <w:tcPr>
            <w:tcW w:w="2073" w:type="pct"/>
            <w:shd w:val="clear" w:color="auto" w:fill="auto"/>
            <w:vAlign w:val="center"/>
          </w:tcPr>
          <w:p w14:paraId="5D58EFC2">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浙江一剑律师事务所</w:t>
            </w:r>
          </w:p>
        </w:tc>
        <w:tc>
          <w:tcPr>
            <w:tcW w:w="2331" w:type="pct"/>
            <w:shd w:val="clear" w:color="auto" w:fill="auto"/>
            <w:vAlign w:val="center"/>
          </w:tcPr>
          <w:p w14:paraId="5DDD1120">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民刑程序交叉处理的逻辑嬗变——基于“同一事实认定准则”向“先决关系裁判逻辑”的转向</w:t>
            </w:r>
          </w:p>
        </w:tc>
      </w:tr>
      <w:tr w14:paraId="0CE76B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293B60B7">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王  凯</w:t>
            </w:r>
          </w:p>
        </w:tc>
        <w:tc>
          <w:tcPr>
            <w:tcW w:w="2073" w:type="pct"/>
            <w:shd w:val="clear" w:color="auto" w:fill="auto"/>
            <w:vAlign w:val="center"/>
          </w:tcPr>
          <w:p w14:paraId="63905395">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浙江六和律师事务所</w:t>
            </w:r>
          </w:p>
        </w:tc>
        <w:tc>
          <w:tcPr>
            <w:tcW w:w="2331" w:type="pct"/>
            <w:shd w:val="clear" w:color="auto" w:fill="auto"/>
            <w:vAlign w:val="center"/>
          </w:tcPr>
          <w:p w14:paraId="0444ADA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自动驾驶汽车侵权责任问题研究——基于技术分级的责任分配路径</w:t>
            </w:r>
          </w:p>
        </w:tc>
      </w:tr>
      <w:tr w14:paraId="1F4ED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7533C0A8">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翟羽佳</w:t>
            </w:r>
          </w:p>
        </w:tc>
        <w:tc>
          <w:tcPr>
            <w:tcW w:w="2073" w:type="pct"/>
            <w:shd w:val="clear" w:color="auto" w:fill="auto"/>
            <w:vAlign w:val="center"/>
          </w:tcPr>
          <w:p w14:paraId="13FE50A7">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浙江天册（宁波）律师事务所</w:t>
            </w:r>
          </w:p>
        </w:tc>
        <w:tc>
          <w:tcPr>
            <w:tcW w:w="2331" w:type="pct"/>
            <w:shd w:val="clear" w:color="auto" w:fill="auto"/>
            <w:vAlign w:val="center"/>
          </w:tcPr>
          <w:p w14:paraId="4C5A6A2D">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中国供应商应对美国破产偏颇性清偿之道——制度规则解析与抗辩策略构建</w:t>
            </w:r>
          </w:p>
        </w:tc>
      </w:tr>
      <w:tr w14:paraId="3FA59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0FD08DD5">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傅梦露</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丁林阳</w:t>
            </w:r>
          </w:p>
        </w:tc>
        <w:tc>
          <w:tcPr>
            <w:tcW w:w="2073" w:type="pct"/>
            <w:shd w:val="clear" w:color="auto" w:fill="auto"/>
            <w:vAlign w:val="center"/>
          </w:tcPr>
          <w:p w14:paraId="07F5D06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浙江振邦律师事务所</w:t>
            </w:r>
          </w:p>
        </w:tc>
        <w:tc>
          <w:tcPr>
            <w:tcW w:w="2331" w:type="pct"/>
            <w:shd w:val="clear" w:color="auto" w:fill="auto"/>
            <w:vAlign w:val="center"/>
          </w:tcPr>
          <w:p w14:paraId="18BA4BA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发包人破产情境下工抵房法律适用问题研究——以执行异议之诉解释第17条解读为核心</w:t>
            </w:r>
          </w:p>
        </w:tc>
      </w:tr>
      <w:tr w14:paraId="286DD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53C3B94B">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杨  芳                         李欢星</w:t>
            </w:r>
          </w:p>
        </w:tc>
        <w:tc>
          <w:tcPr>
            <w:tcW w:w="2073" w:type="pct"/>
            <w:shd w:val="clear" w:color="auto" w:fill="auto"/>
            <w:vAlign w:val="center"/>
          </w:tcPr>
          <w:p w14:paraId="3200A76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浙江舜杰律师事务所</w:t>
            </w:r>
          </w:p>
        </w:tc>
        <w:tc>
          <w:tcPr>
            <w:tcW w:w="2331" w:type="pct"/>
            <w:shd w:val="clear" w:color="auto" w:fill="auto"/>
            <w:vAlign w:val="center"/>
          </w:tcPr>
          <w:p w14:paraId="69A875FE">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证券虚假陈述中介机构民事责任实证分析及修正路径——基于司法实践中类案裁判研究</w:t>
            </w:r>
          </w:p>
        </w:tc>
      </w:tr>
      <w:tr w14:paraId="74CDF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1E10DDD6">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林长华                   单清皓               王家奇</w:t>
            </w:r>
          </w:p>
        </w:tc>
        <w:tc>
          <w:tcPr>
            <w:tcW w:w="2073" w:type="pct"/>
            <w:shd w:val="clear" w:color="auto" w:fill="auto"/>
            <w:vAlign w:val="center"/>
          </w:tcPr>
          <w:p w14:paraId="6DB0A5A4">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浙江点金律师事务所</w:t>
            </w:r>
          </w:p>
        </w:tc>
        <w:tc>
          <w:tcPr>
            <w:tcW w:w="2331" w:type="pct"/>
            <w:shd w:val="clear" w:color="auto" w:fill="auto"/>
            <w:vAlign w:val="center"/>
          </w:tcPr>
          <w:p w14:paraId="4746B31B">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破产重整程序中跨组债权人表决权独立性问题研究</w:t>
            </w:r>
          </w:p>
        </w:tc>
      </w:tr>
      <w:tr w14:paraId="22187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31D7252C">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王显峰                      赵  倩</w:t>
            </w:r>
          </w:p>
        </w:tc>
        <w:tc>
          <w:tcPr>
            <w:tcW w:w="2073" w:type="pct"/>
            <w:shd w:val="clear" w:color="auto" w:fill="auto"/>
            <w:vAlign w:val="center"/>
          </w:tcPr>
          <w:p w14:paraId="228CBCFD">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北京大成（杭州）律师事务所</w:t>
            </w:r>
          </w:p>
        </w:tc>
        <w:tc>
          <w:tcPr>
            <w:tcW w:w="2331" w:type="pct"/>
            <w:shd w:val="clear" w:color="auto" w:fill="auto"/>
            <w:vAlign w:val="center"/>
          </w:tcPr>
          <w:p w14:paraId="606F59D2">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生成式AI与商业秘密法律协同路径——以OpenAI指控DeepSeek“模型蒸馏”为视角</w:t>
            </w:r>
          </w:p>
        </w:tc>
      </w:tr>
      <w:tr w14:paraId="559D3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638C74E7">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林清选                   吕静雯</w:t>
            </w:r>
          </w:p>
        </w:tc>
        <w:tc>
          <w:tcPr>
            <w:tcW w:w="2073" w:type="pct"/>
            <w:shd w:val="clear" w:color="auto" w:fill="auto"/>
            <w:vAlign w:val="center"/>
          </w:tcPr>
          <w:p w14:paraId="101852D5">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北京德恒（温州）律师事务所</w:t>
            </w:r>
          </w:p>
        </w:tc>
        <w:tc>
          <w:tcPr>
            <w:tcW w:w="2331" w:type="pct"/>
            <w:shd w:val="clear" w:color="auto" w:fill="auto"/>
            <w:vAlign w:val="center"/>
          </w:tcPr>
          <w:p w14:paraId="02D0EAF7">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论新就业形态中劳动者与平台企业劳动关系的司法认定——以指导性案例238号、240号为例</w:t>
            </w:r>
          </w:p>
        </w:tc>
      </w:tr>
      <w:tr w14:paraId="179A2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7217E9F2">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李岸禧                  陈玲珠</w:t>
            </w:r>
          </w:p>
        </w:tc>
        <w:tc>
          <w:tcPr>
            <w:tcW w:w="2073" w:type="pct"/>
            <w:shd w:val="clear" w:color="auto" w:fill="auto"/>
            <w:vAlign w:val="center"/>
          </w:tcPr>
          <w:p w14:paraId="4F1CA7D7">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浙江浙杭（温岭）律师事务所</w:t>
            </w:r>
          </w:p>
        </w:tc>
        <w:tc>
          <w:tcPr>
            <w:tcW w:w="2331" w:type="pct"/>
            <w:shd w:val="clear" w:color="auto" w:fill="auto"/>
            <w:vAlign w:val="center"/>
          </w:tcPr>
          <w:p w14:paraId="6ADF8E2B">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新就业形态下“类雇员”职业伤害保障的法律路径研究——基于工伤保险制度适配性的视角</w:t>
            </w:r>
          </w:p>
        </w:tc>
      </w:tr>
      <w:tr w14:paraId="32D6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0D5ECC3F">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岑益超        叶佳绿</w:t>
            </w:r>
          </w:p>
        </w:tc>
        <w:tc>
          <w:tcPr>
            <w:tcW w:w="2073" w:type="pct"/>
            <w:shd w:val="clear" w:color="auto" w:fill="auto"/>
            <w:vAlign w:val="center"/>
          </w:tcPr>
          <w:p w14:paraId="10F2541A">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浙江前湾律师事务所</w:t>
            </w:r>
          </w:p>
        </w:tc>
        <w:tc>
          <w:tcPr>
            <w:tcW w:w="2331" w:type="pct"/>
            <w:shd w:val="clear" w:color="auto" w:fill="auto"/>
            <w:vAlign w:val="center"/>
          </w:tcPr>
          <w:p w14:paraId="435DB2D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AI声音生成服务提供者声音权益侵权责任认定</w:t>
            </w:r>
          </w:p>
        </w:tc>
      </w:tr>
      <w:tr w14:paraId="54ABA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00976D7E">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冯美芳</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陆文靖</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陈傲群</w:t>
            </w:r>
          </w:p>
        </w:tc>
        <w:tc>
          <w:tcPr>
            <w:tcW w:w="2073" w:type="pct"/>
            <w:shd w:val="clear" w:color="auto" w:fill="auto"/>
            <w:vAlign w:val="center"/>
          </w:tcPr>
          <w:p w14:paraId="4DBC06C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浙江国傲律师事务所</w:t>
            </w:r>
          </w:p>
        </w:tc>
        <w:tc>
          <w:tcPr>
            <w:tcW w:w="2331" w:type="pct"/>
            <w:shd w:val="clear" w:color="auto" w:fill="auto"/>
            <w:vAlign w:val="center"/>
          </w:tcPr>
          <w:p w14:paraId="0DAACCEA">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新公司法第88条不溯及适用情形下——未届出资期限转让股权的出资人责任认定的实践探索</w:t>
            </w:r>
          </w:p>
        </w:tc>
      </w:tr>
      <w:tr w14:paraId="73FC1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30DFCF7F">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林云青             陈怡帆</w:t>
            </w:r>
          </w:p>
        </w:tc>
        <w:tc>
          <w:tcPr>
            <w:tcW w:w="2073" w:type="pct"/>
            <w:shd w:val="clear" w:color="auto" w:fill="auto"/>
            <w:vAlign w:val="center"/>
          </w:tcPr>
          <w:p w14:paraId="55D434D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浙江金道律师事务所</w:t>
            </w:r>
          </w:p>
        </w:tc>
        <w:tc>
          <w:tcPr>
            <w:tcW w:w="2331" w:type="pct"/>
            <w:shd w:val="clear" w:color="auto" w:fill="auto"/>
            <w:vAlign w:val="center"/>
          </w:tcPr>
          <w:p w14:paraId="1DECF8FA">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法治化营商环境下企业用工自主权的规范重构——以“客观情况发生重大变化”条款的适用为视角</w:t>
            </w:r>
          </w:p>
        </w:tc>
      </w:tr>
      <w:tr w14:paraId="3F5BE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5F776B9A">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林  燕</w:t>
            </w:r>
          </w:p>
        </w:tc>
        <w:tc>
          <w:tcPr>
            <w:tcW w:w="2073" w:type="pct"/>
            <w:shd w:val="clear" w:color="auto" w:fill="auto"/>
            <w:vAlign w:val="center"/>
          </w:tcPr>
          <w:p w14:paraId="5EF2F828">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浙江台温律师事务所</w:t>
            </w:r>
          </w:p>
        </w:tc>
        <w:tc>
          <w:tcPr>
            <w:tcW w:w="2331" w:type="pct"/>
            <w:shd w:val="clear" w:color="auto" w:fill="auto"/>
            <w:vAlign w:val="center"/>
          </w:tcPr>
          <w:p w14:paraId="73D914E6">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破产程序中生态环境治理的现实困局及行动进路</w:t>
            </w:r>
          </w:p>
        </w:tc>
      </w:tr>
      <w:tr w14:paraId="50CE0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03E46CCF">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余  灵</w:t>
            </w:r>
          </w:p>
        </w:tc>
        <w:tc>
          <w:tcPr>
            <w:tcW w:w="2073" w:type="pct"/>
            <w:shd w:val="clear" w:color="auto" w:fill="auto"/>
            <w:vAlign w:val="center"/>
          </w:tcPr>
          <w:p w14:paraId="37DA710B">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上海兰迪（温州）律师事务所</w:t>
            </w:r>
          </w:p>
        </w:tc>
        <w:tc>
          <w:tcPr>
            <w:tcW w:w="2331" w:type="pct"/>
            <w:shd w:val="clear" w:color="auto" w:fill="auto"/>
            <w:vAlign w:val="center"/>
          </w:tcPr>
          <w:p w14:paraId="7EBC0425">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“刮码销售”行为的法律定性分歧与裁判规则研究——兼论品牌管控与竞争自由的平衡之道</w:t>
            </w:r>
          </w:p>
        </w:tc>
      </w:tr>
      <w:tr w14:paraId="42969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61076255">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瞿  静                      周可婧</w:t>
            </w:r>
          </w:p>
        </w:tc>
        <w:tc>
          <w:tcPr>
            <w:tcW w:w="2073" w:type="pct"/>
            <w:shd w:val="clear" w:color="auto" w:fill="auto"/>
            <w:vAlign w:val="center"/>
          </w:tcPr>
          <w:p w14:paraId="5A89E7BC">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浙江天册律师事务所</w:t>
            </w:r>
          </w:p>
        </w:tc>
        <w:tc>
          <w:tcPr>
            <w:tcW w:w="2331" w:type="pct"/>
            <w:shd w:val="clear" w:color="auto" w:fill="auto"/>
            <w:vAlign w:val="center"/>
          </w:tcPr>
          <w:p w14:paraId="42BC26B2">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企业数据信托中受托人信义义务的边界——以信托财产合法性审查为例</w:t>
            </w:r>
          </w:p>
        </w:tc>
      </w:tr>
      <w:tr w14:paraId="5D992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0E744BE0">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吴达晒              钱轶钢</w:t>
            </w:r>
          </w:p>
        </w:tc>
        <w:tc>
          <w:tcPr>
            <w:tcW w:w="2073" w:type="pct"/>
            <w:shd w:val="clear" w:color="auto" w:fill="auto"/>
            <w:vAlign w:val="center"/>
          </w:tcPr>
          <w:p w14:paraId="523397BC">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浙江海泰律师事务所</w:t>
            </w:r>
          </w:p>
        </w:tc>
        <w:tc>
          <w:tcPr>
            <w:tcW w:w="2331" w:type="pct"/>
            <w:shd w:val="clear" w:color="auto" w:fill="auto"/>
            <w:vAlign w:val="center"/>
          </w:tcPr>
          <w:p w14:paraId="16789E9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公司未通知债权人减资的法律效力与责任问题研究——新《公司法》第226条的法解释学分析与展开</w:t>
            </w:r>
          </w:p>
        </w:tc>
      </w:tr>
      <w:tr w14:paraId="3DFCE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24BB5D1C">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施  周                      吴佳蔚</w:t>
            </w:r>
          </w:p>
        </w:tc>
        <w:tc>
          <w:tcPr>
            <w:tcW w:w="2073" w:type="pct"/>
            <w:shd w:val="clear" w:color="auto" w:fill="auto"/>
            <w:vAlign w:val="center"/>
          </w:tcPr>
          <w:p w14:paraId="5A683CD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浙江和义观达律师事务所                         宁波大学</w:t>
            </w:r>
          </w:p>
        </w:tc>
        <w:tc>
          <w:tcPr>
            <w:tcW w:w="2331" w:type="pct"/>
            <w:shd w:val="clear" w:color="auto" w:fill="auto"/>
            <w:vAlign w:val="center"/>
          </w:tcPr>
          <w:p w14:paraId="5C14390E">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论嵌套基金中投资者的代位清算请求权</w:t>
            </w:r>
          </w:p>
        </w:tc>
      </w:tr>
      <w:tr w14:paraId="1B698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536E14F0">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郑佳颖</w:t>
            </w:r>
          </w:p>
        </w:tc>
        <w:tc>
          <w:tcPr>
            <w:tcW w:w="2073" w:type="pct"/>
            <w:shd w:val="clear" w:color="auto" w:fill="auto"/>
            <w:vAlign w:val="center"/>
          </w:tcPr>
          <w:p w14:paraId="40C8D7AD">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浙江天册（宁波）律师事务所</w:t>
            </w:r>
          </w:p>
        </w:tc>
        <w:tc>
          <w:tcPr>
            <w:tcW w:w="2331" w:type="pct"/>
            <w:shd w:val="clear" w:color="auto" w:fill="auto"/>
            <w:vAlign w:val="center"/>
          </w:tcPr>
          <w:p w14:paraId="71402AAB">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论未经审批划拨土地使用权转让合同效力——城市更新背景下交易安全与公共利益的衡平考量</w:t>
            </w:r>
          </w:p>
        </w:tc>
      </w:tr>
      <w:tr w14:paraId="72B1C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3" w:hRule="atLeast"/>
        </w:trPr>
        <w:tc>
          <w:tcPr>
            <w:tcW w:w="5000" w:type="pct"/>
            <w:gridSpan w:val="3"/>
            <w:vAlign w:val="top"/>
          </w:tcPr>
          <w:p w14:paraId="3C3E9F01">
            <w:pPr>
              <w:keepNext w:val="0"/>
              <w:keepLines w:val="0"/>
              <w:pageBreakBefore w:val="0"/>
              <w:widowControl w:val="0"/>
              <w:kinsoku/>
              <w:wordWrap/>
              <w:overflowPunct/>
              <w:topLinePunct w:val="0"/>
              <w:autoSpaceDE/>
              <w:autoSpaceDN/>
              <w:bidi w:val="0"/>
              <w:adjustRightInd/>
              <w:snapToGrid/>
              <w:spacing w:line="460" w:lineRule="exact"/>
              <w:jc w:val="both"/>
              <w:rPr>
                <w:rFonts w:hint="default" w:asciiTheme="minorEastAsia" w:hAnsiTheme="minorEastAsia" w:eastAsiaTheme="minorEastAsia" w:cstheme="minorEastAsia"/>
                <w:b/>
                <w:bCs/>
                <w:sz w:val="44"/>
                <w:szCs w:val="44"/>
                <w:vertAlign w:val="baseline"/>
                <w:lang w:val="en-US" w:eastAsia="zh-CN"/>
              </w:rPr>
            </w:pPr>
            <w:r>
              <w:rPr>
                <w:rFonts w:hint="eastAsia" w:ascii="黑体" w:hAnsi="黑体" w:eastAsia="黑体" w:cs="黑体"/>
                <w:b w:val="0"/>
                <w:bCs w:val="0"/>
                <w:sz w:val="32"/>
                <w:szCs w:val="32"/>
                <w:vertAlign w:val="baseline"/>
                <w:lang w:val="en-US" w:eastAsia="zh-CN"/>
              </w:rPr>
              <w:t>三等奖论文</w:t>
            </w:r>
          </w:p>
        </w:tc>
      </w:tr>
      <w:tr w14:paraId="4BF10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078D7515">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陈江刚</w:t>
            </w:r>
          </w:p>
        </w:tc>
        <w:tc>
          <w:tcPr>
            <w:tcW w:w="2073" w:type="pct"/>
            <w:shd w:val="clear" w:color="auto" w:fill="auto"/>
            <w:vAlign w:val="center"/>
          </w:tcPr>
          <w:p w14:paraId="53B7EC8E">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国浩律师（杭州）事务所</w:t>
            </w:r>
          </w:p>
        </w:tc>
        <w:tc>
          <w:tcPr>
            <w:tcW w:w="2331" w:type="pct"/>
            <w:shd w:val="clear" w:color="auto" w:fill="auto"/>
            <w:vAlign w:val="center"/>
          </w:tcPr>
          <w:p w14:paraId="310493FE">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形式抑或实质：重整计划执行完毕标准之争——基于2024年裁定批准的11家上市公司重整案件样本分析</w:t>
            </w:r>
          </w:p>
        </w:tc>
      </w:tr>
      <w:tr w14:paraId="3FA8F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2238AE4F">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沈依文               王  蓥</w:t>
            </w:r>
          </w:p>
        </w:tc>
        <w:tc>
          <w:tcPr>
            <w:tcW w:w="2073" w:type="pct"/>
            <w:shd w:val="clear" w:color="auto" w:fill="auto"/>
            <w:vAlign w:val="center"/>
          </w:tcPr>
          <w:p w14:paraId="48E3AA74">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浙江新鉴君律师事务所</w:t>
            </w:r>
          </w:p>
        </w:tc>
        <w:tc>
          <w:tcPr>
            <w:tcW w:w="2331" w:type="pct"/>
            <w:shd w:val="clear" w:color="auto" w:fill="auto"/>
            <w:vAlign w:val="center"/>
          </w:tcPr>
          <w:p w14:paraId="427D6D85">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论行政争议实质性化解下事故调查报告批复可诉性问题研究——基于87个事故调查报告批复可诉性案件的分析</w:t>
            </w:r>
          </w:p>
        </w:tc>
      </w:tr>
      <w:tr w14:paraId="24B25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0E97EBF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郑丽萍</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廖祥正</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刘瑜霖</w:t>
            </w:r>
          </w:p>
        </w:tc>
        <w:tc>
          <w:tcPr>
            <w:tcW w:w="2073" w:type="pct"/>
            <w:shd w:val="clear" w:color="auto" w:fill="auto"/>
            <w:vAlign w:val="center"/>
          </w:tcPr>
          <w:p w14:paraId="707B925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北京德恒（杭州）律师事务所</w:t>
            </w:r>
          </w:p>
        </w:tc>
        <w:tc>
          <w:tcPr>
            <w:tcW w:w="2331" w:type="pct"/>
            <w:shd w:val="clear" w:color="auto" w:fill="auto"/>
            <w:vAlign w:val="center"/>
          </w:tcPr>
          <w:p w14:paraId="348F4D2E">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家族企业基业长青的法律路径研究：基于产权、治理与社会影响力的三重构建</w:t>
            </w:r>
          </w:p>
        </w:tc>
      </w:tr>
      <w:tr w14:paraId="25B61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4B9BD225">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杨汤英</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童佳洁</w:t>
            </w:r>
          </w:p>
        </w:tc>
        <w:tc>
          <w:tcPr>
            <w:tcW w:w="2073" w:type="pct"/>
            <w:shd w:val="clear" w:color="auto" w:fill="auto"/>
            <w:vAlign w:val="center"/>
          </w:tcPr>
          <w:p w14:paraId="79EA9846">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浙江信顺律师事务所</w:t>
            </w:r>
          </w:p>
        </w:tc>
        <w:tc>
          <w:tcPr>
            <w:tcW w:w="2331" w:type="pct"/>
            <w:shd w:val="clear" w:color="auto" w:fill="auto"/>
            <w:vAlign w:val="center"/>
          </w:tcPr>
          <w:p w14:paraId="7814DE3E">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征收领域行民交叉争议多元化解之路径探索</w:t>
            </w:r>
          </w:p>
        </w:tc>
      </w:tr>
      <w:tr w14:paraId="40248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2DE9FD30">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何良雄            张  骞</w:t>
            </w:r>
          </w:p>
        </w:tc>
        <w:tc>
          <w:tcPr>
            <w:tcW w:w="2073" w:type="pct"/>
            <w:shd w:val="clear" w:color="auto" w:fill="auto"/>
            <w:vAlign w:val="center"/>
          </w:tcPr>
          <w:p w14:paraId="3E83015B">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浙江利群律师事务所</w:t>
            </w:r>
          </w:p>
        </w:tc>
        <w:tc>
          <w:tcPr>
            <w:tcW w:w="2331" w:type="pct"/>
            <w:shd w:val="clear" w:color="auto" w:fill="auto"/>
            <w:vAlign w:val="center"/>
          </w:tcPr>
          <w:p w14:paraId="6CE3FAA7">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从价值到规范：论可预见性原则在专利等同侵权判定中的司法适用</w:t>
            </w:r>
          </w:p>
        </w:tc>
      </w:tr>
      <w:tr w14:paraId="2A360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5FB053E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胡  琪</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陈  成</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付涵冰</w:t>
            </w:r>
          </w:p>
        </w:tc>
        <w:tc>
          <w:tcPr>
            <w:tcW w:w="2073" w:type="pct"/>
            <w:shd w:val="clear" w:color="auto" w:fill="auto"/>
            <w:vAlign w:val="center"/>
          </w:tcPr>
          <w:p w14:paraId="163FFD40">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北京国枫（杭州）律师事务所</w:t>
            </w:r>
          </w:p>
        </w:tc>
        <w:tc>
          <w:tcPr>
            <w:tcW w:w="2331" w:type="pct"/>
            <w:shd w:val="clear" w:color="auto" w:fill="auto"/>
            <w:vAlign w:val="center"/>
          </w:tcPr>
          <w:p w14:paraId="6D4C08D8">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全球治理变局下中国企业出海的主体架构与合规路径探析——以跨境电商出海架构为例</w:t>
            </w:r>
          </w:p>
        </w:tc>
      </w:tr>
      <w:tr w14:paraId="5C110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7A579EF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朱子昂</w:t>
            </w:r>
          </w:p>
        </w:tc>
        <w:tc>
          <w:tcPr>
            <w:tcW w:w="2073" w:type="pct"/>
            <w:shd w:val="clear" w:color="auto" w:fill="auto"/>
            <w:vAlign w:val="center"/>
          </w:tcPr>
          <w:p w14:paraId="4F0545D2">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北京大成（杭州）律师事务所</w:t>
            </w:r>
          </w:p>
        </w:tc>
        <w:tc>
          <w:tcPr>
            <w:tcW w:w="2331" w:type="pct"/>
            <w:shd w:val="clear" w:color="auto" w:fill="auto"/>
            <w:vAlign w:val="center"/>
          </w:tcPr>
          <w:p w14:paraId="7F47EAC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生成式人工智能平台侵犯公民个人信息刑事风险的机理分析与体系化防控——基于当前主流AI的技术特性</w:t>
            </w:r>
          </w:p>
        </w:tc>
      </w:tr>
      <w:tr w14:paraId="2ADDE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6CF6B0A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金  科          吕志杰</w:t>
            </w:r>
          </w:p>
        </w:tc>
        <w:tc>
          <w:tcPr>
            <w:tcW w:w="2073" w:type="pct"/>
            <w:shd w:val="clear" w:color="auto" w:fill="auto"/>
            <w:vAlign w:val="center"/>
          </w:tcPr>
          <w:p w14:paraId="0E995A7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浙江和乐律师事务所</w:t>
            </w:r>
          </w:p>
        </w:tc>
        <w:tc>
          <w:tcPr>
            <w:tcW w:w="2331" w:type="pct"/>
            <w:shd w:val="clear" w:color="auto" w:fill="auto"/>
            <w:vAlign w:val="center"/>
          </w:tcPr>
          <w:p w14:paraId="5630B058">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行政协议解除权的竞合规则研究</w:t>
            </w:r>
          </w:p>
        </w:tc>
      </w:tr>
      <w:tr w14:paraId="380C5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1D463BBF">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李雪品                谷艳羽</w:t>
            </w:r>
          </w:p>
        </w:tc>
        <w:tc>
          <w:tcPr>
            <w:tcW w:w="2073" w:type="pct"/>
            <w:shd w:val="clear" w:color="auto" w:fill="auto"/>
            <w:vAlign w:val="center"/>
          </w:tcPr>
          <w:p w14:paraId="7589F972">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浙江六和（温州）律师事务所</w:t>
            </w:r>
          </w:p>
        </w:tc>
        <w:tc>
          <w:tcPr>
            <w:tcW w:w="2331" w:type="pct"/>
            <w:shd w:val="clear" w:color="auto" w:fill="auto"/>
            <w:vAlign w:val="center"/>
          </w:tcPr>
          <w:p w14:paraId="7FAAFFE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隐私政策的困局与突破——基于“隐私保护设计”的路径优化</w:t>
            </w:r>
          </w:p>
        </w:tc>
      </w:tr>
      <w:tr w14:paraId="74B48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7D32CF47">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杨继娇</w:t>
            </w:r>
          </w:p>
        </w:tc>
        <w:tc>
          <w:tcPr>
            <w:tcW w:w="2073" w:type="pct"/>
            <w:shd w:val="clear" w:color="auto" w:fill="auto"/>
            <w:vAlign w:val="center"/>
          </w:tcPr>
          <w:p w14:paraId="5861B0F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北京盈科（丽水）律师事务所</w:t>
            </w:r>
          </w:p>
        </w:tc>
        <w:tc>
          <w:tcPr>
            <w:tcW w:w="2331" w:type="pct"/>
            <w:shd w:val="clear" w:color="auto" w:fill="auto"/>
            <w:vAlign w:val="center"/>
          </w:tcPr>
          <w:p w14:paraId="6481C27D">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裁执分离模式下基层行政强制执行的争议化解与律师实务路径</w:t>
            </w:r>
          </w:p>
        </w:tc>
      </w:tr>
      <w:tr w14:paraId="4FF94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5C30ACC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朱群群</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阮颖杰</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徐嘉薇</w:t>
            </w:r>
          </w:p>
        </w:tc>
        <w:tc>
          <w:tcPr>
            <w:tcW w:w="2073" w:type="pct"/>
            <w:shd w:val="clear" w:color="auto" w:fill="auto"/>
            <w:vAlign w:val="center"/>
          </w:tcPr>
          <w:p w14:paraId="4F4367F7">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浙江孚吉律师事务所</w:t>
            </w:r>
          </w:p>
        </w:tc>
        <w:tc>
          <w:tcPr>
            <w:tcW w:w="2331" w:type="pct"/>
            <w:shd w:val="clear" w:color="auto" w:fill="auto"/>
            <w:vAlign w:val="center"/>
          </w:tcPr>
          <w:p w14:paraId="4797A314">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直播打赏视角下《民法典》婚家编解释（二）第6条的解释论展开</w:t>
            </w:r>
          </w:p>
        </w:tc>
      </w:tr>
      <w:tr w14:paraId="42936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2DAE5C1D">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朱文杰</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周海华</w:t>
            </w:r>
          </w:p>
        </w:tc>
        <w:tc>
          <w:tcPr>
            <w:tcW w:w="2073" w:type="pct"/>
            <w:shd w:val="clear" w:color="auto" w:fill="auto"/>
            <w:vAlign w:val="center"/>
          </w:tcPr>
          <w:p w14:paraId="39799B56">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浙江金奥律师事务所</w:t>
            </w:r>
          </w:p>
        </w:tc>
        <w:tc>
          <w:tcPr>
            <w:tcW w:w="2331" w:type="pct"/>
            <w:shd w:val="clear" w:color="auto" w:fill="auto"/>
            <w:vAlign w:val="center"/>
          </w:tcPr>
          <w:p w14:paraId="78A10EC0">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数据资产的破产价值实现路径研究</w:t>
            </w:r>
          </w:p>
        </w:tc>
      </w:tr>
      <w:tr w14:paraId="5D919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24F4CB1E">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张  敏</w:t>
            </w:r>
          </w:p>
        </w:tc>
        <w:tc>
          <w:tcPr>
            <w:tcW w:w="2073" w:type="pct"/>
            <w:shd w:val="clear" w:color="auto" w:fill="auto"/>
            <w:vAlign w:val="center"/>
          </w:tcPr>
          <w:p w14:paraId="65916AA1">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浙江嘉望律师事务所</w:t>
            </w:r>
          </w:p>
        </w:tc>
        <w:tc>
          <w:tcPr>
            <w:tcW w:w="2331" w:type="pct"/>
            <w:shd w:val="clear" w:color="auto" w:fill="auto"/>
            <w:vAlign w:val="center"/>
          </w:tcPr>
          <w:p w14:paraId="3413B94C">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大数据时代下劳动者权益的保护——以休息权保障中的离线权构建为例</w:t>
            </w:r>
          </w:p>
        </w:tc>
      </w:tr>
      <w:tr w14:paraId="2716C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5" w:hRule="atLeast"/>
        </w:trPr>
        <w:tc>
          <w:tcPr>
            <w:tcW w:w="595" w:type="pct"/>
            <w:shd w:val="clear" w:color="auto" w:fill="auto"/>
            <w:vAlign w:val="center"/>
          </w:tcPr>
          <w:p w14:paraId="3CB0F362">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黄孟苏</w:t>
            </w:r>
          </w:p>
        </w:tc>
        <w:tc>
          <w:tcPr>
            <w:tcW w:w="2073" w:type="pct"/>
            <w:shd w:val="clear" w:color="auto" w:fill="auto"/>
            <w:vAlign w:val="center"/>
          </w:tcPr>
          <w:p w14:paraId="502288F5">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浙江嘉瑞成律师事务所</w:t>
            </w:r>
          </w:p>
        </w:tc>
        <w:tc>
          <w:tcPr>
            <w:tcW w:w="2331" w:type="pct"/>
            <w:shd w:val="clear" w:color="auto" w:fill="auto"/>
            <w:vAlign w:val="center"/>
          </w:tcPr>
          <w:p w14:paraId="1FB077B0">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新《公司法》董事催缴股东出资义务研究</w:t>
            </w:r>
          </w:p>
        </w:tc>
      </w:tr>
      <w:tr w14:paraId="5DB94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61E597B2">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许力先</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陈心彦</w:t>
            </w:r>
          </w:p>
        </w:tc>
        <w:tc>
          <w:tcPr>
            <w:tcW w:w="2073" w:type="pct"/>
            <w:shd w:val="clear" w:color="auto" w:fill="auto"/>
            <w:vAlign w:val="center"/>
          </w:tcPr>
          <w:p w14:paraId="313BCC1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浙江六和律师事务所</w:t>
            </w:r>
          </w:p>
        </w:tc>
        <w:tc>
          <w:tcPr>
            <w:tcW w:w="2331" w:type="pct"/>
            <w:shd w:val="clear" w:color="auto" w:fill="auto"/>
            <w:vAlign w:val="center"/>
          </w:tcPr>
          <w:p w14:paraId="3AA30951">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OTA平台大数据杀熟法律规制问题研究</w:t>
            </w:r>
          </w:p>
        </w:tc>
      </w:tr>
      <w:tr w14:paraId="0B2AE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108D3615">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张康康</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苗雨薇</w:t>
            </w:r>
          </w:p>
        </w:tc>
        <w:tc>
          <w:tcPr>
            <w:tcW w:w="2073" w:type="pct"/>
            <w:shd w:val="clear" w:color="auto" w:fill="auto"/>
            <w:vAlign w:val="center"/>
          </w:tcPr>
          <w:p w14:paraId="62B16E5B">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 xml:space="preserve">浙江匠之芯律师事务所 </w:t>
            </w:r>
          </w:p>
        </w:tc>
        <w:tc>
          <w:tcPr>
            <w:tcW w:w="2331" w:type="pct"/>
            <w:shd w:val="clear" w:color="auto" w:fill="auto"/>
            <w:vAlign w:val="center"/>
          </w:tcPr>
          <w:p w14:paraId="6206E7AE">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廉洁合规助力民营企业高质量发展的浙江实践分析——以《浙江省民营企业廉洁合规建设指引》为蓝本</w:t>
            </w:r>
          </w:p>
        </w:tc>
      </w:tr>
      <w:tr w14:paraId="7AF4F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08D0FFEF">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张舟颖</w:t>
            </w:r>
          </w:p>
        </w:tc>
        <w:tc>
          <w:tcPr>
            <w:tcW w:w="2073" w:type="pct"/>
            <w:shd w:val="clear" w:color="auto" w:fill="auto"/>
            <w:vAlign w:val="center"/>
          </w:tcPr>
          <w:p w14:paraId="462A332E">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北京大成（舟山）律师事务所</w:t>
            </w:r>
          </w:p>
        </w:tc>
        <w:tc>
          <w:tcPr>
            <w:tcW w:w="2331" w:type="pct"/>
            <w:shd w:val="clear" w:color="auto" w:fill="auto"/>
            <w:vAlign w:val="center"/>
          </w:tcPr>
          <w:p w14:paraId="55C259AB">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人工智能法律咨询工具驱动下律师客户关系的重构路径研究</w:t>
            </w:r>
          </w:p>
        </w:tc>
      </w:tr>
      <w:tr w14:paraId="00C9CB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349400E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陶  宁</w:t>
            </w:r>
          </w:p>
        </w:tc>
        <w:tc>
          <w:tcPr>
            <w:tcW w:w="2073" w:type="pct"/>
            <w:shd w:val="clear" w:color="auto" w:fill="auto"/>
            <w:vAlign w:val="center"/>
          </w:tcPr>
          <w:p w14:paraId="63079BBB">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浙江泽大律师事务所</w:t>
            </w:r>
          </w:p>
        </w:tc>
        <w:tc>
          <w:tcPr>
            <w:tcW w:w="2331" w:type="pct"/>
            <w:shd w:val="clear" w:color="auto" w:fill="auto"/>
            <w:vAlign w:val="center"/>
          </w:tcPr>
          <w:p w14:paraId="42863E26">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货币数字化场景下洗钱犯罪的规制进路——以稳定币为切入点</w:t>
            </w:r>
          </w:p>
        </w:tc>
      </w:tr>
      <w:tr w14:paraId="2E44C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3E6B64D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林嘉渊</w:t>
            </w:r>
          </w:p>
        </w:tc>
        <w:tc>
          <w:tcPr>
            <w:tcW w:w="2073" w:type="pct"/>
            <w:shd w:val="clear" w:color="auto" w:fill="auto"/>
            <w:vAlign w:val="center"/>
          </w:tcPr>
          <w:p w14:paraId="633F3526">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北京大成（舟山）律师事务所</w:t>
            </w:r>
          </w:p>
        </w:tc>
        <w:tc>
          <w:tcPr>
            <w:tcW w:w="2331" w:type="pct"/>
            <w:shd w:val="clear" w:color="auto" w:fill="auto"/>
            <w:vAlign w:val="center"/>
          </w:tcPr>
          <w:p w14:paraId="47382DB7">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生成式人工智能介入法律服务的伦理边界与制度回应</w:t>
            </w:r>
          </w:p>
        </w:tc>
      </w:tr>
      <w:tr w14:paraId="00B89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4291199B">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吴  钢                   李明健</w:t>
            </w:r>
          </w:p>
        </w:tc>
        <w:tc>
          <w:tcPr>
            <w:tcW w:w="2073" w:type="pct"/>
            <w:shd w:val="clear" w:color="auto" w:fill="auto"/>
            <w:vAlign w:val="center"/>
          </w:tcPr>
          <w:p w14:paraId="09E9BA84">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国浩律师（杭州）事务所</w:t>
            </w:r>
          </w:p>
        </w:tc>
        <w:tc>
          <w:tcPr>
            <w:tcW w:w="2331" w:type="pct"/>
            <w:shd w:val="clear" w:color="auto" w:fill="auto"/>
            <w:vAlign w:val="center"/>
          </w:tcPr>
          <w:p w14:paraId="78500FE1">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论企业数据在破产程序中的特殊保护和处置路径</w:t>
            </w:r>
          </w:p>
        </w:tc>
      </w:tr>
      <w:tr w14:paraId="3B29E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309A1FD0">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黄语欣</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林志魏</w:t>
            </w:r>
          </w:p>
        </w:tc>
        <w:tc>
          <w:tcPr>
            <w:tcW w:w="2073" w:type="pct"/>
            <w:shd w:val="clear" w:color="auto" w:fill="auto"/>
            <w:vAlign w:val="center"/>
          </w:tcPr>
          <w:p w14:paraId="0E3AEF24">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浙江大猷律师事务所</w:t>
            </w:r>
          </w:p>
        </w:tc>
        <w:tc>
          <w:tcPr>
            <w:tcW w:w="2331" w:type="pct"/>
            <w:shd w:val="clear" w:color="auto" w:fill="auto"/>
            <w:vAlign w:val="center"/>
          </w:tcPr>
          <w:p w14:paraId="5F80EBDD">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远程劳动者休息权保障探讨</w:t>
            </w:r>
          </w:p>
        </w:tc>
      </w:tr>
      <w:tr w14:paraId="23E16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11EB3BB8">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赵  妍</w:t>
            </w:r>
          </w:p>
        </w:tc>
        <w:tc>
          <w:tcPr>
            <w:tcW w:w="2073" w:type="pct"/>
            <w:shd w:val="clear" w:color="auto" w:fill="auto"/>
            <w:vAlign w:val="center"/>
          </w:tcPr>
          <w:p w14:paraId="253DB54E">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浙江震瓯律师事务所</w:t>
            </w:r>
          </w:p>
        </w:tc>
        <w:tc>
          <w:tcPr>
            <w:tcW w:w="2331" w:type="pct"/>
            <w:shd w:val="clear" w:color="auto" w:fill="auto"/>
            <w:vAlign w:val="center"/>
          </w:tcPr>
          <w:p w14:paraId="12BBB6B4">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碳排放权交易中的权属确认与律师服务创新研究</w:t>
            </w:r>
          </w:p>
        </w:tc>
      </w:tr>
      <w:tr w14:paraId="62EB5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4EEFD78C">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周新春           闫  静</w:t>
            </w:r>
          </w:p>
        </w:tc>
        <w:tc>
          <w:tcPr>
            <w:tcW w:w="2073" w:type="pct"/>
            <w:shd w:val="clear" w:color="auto" w:fill="auto"/>
            <w:vAlign w:val="center"/>
          </w:tcPr>
          <w:p w14:paraId="2EAC9AFF">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上海兰迪（杭州）律师事务所</w:t>
            </w:r>
          </w:p>
        </w:tc>
        <w:tc>
          <w:tcPr>
            <w:tcW w:w="2331" w:type="pct"/>
            <w:shd w:val="clear" w:color="auto" w:fill="auto"/>
            <w:vAlign w:val="center"/>
          </w:tcPr>
          <w:p w14:paraId="6301A77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法治化营商环境视角下电商企业虚假宣传行政处罚“过罚不当”风险防范机制建设——基于Z省111例行政处罚决定的研究</w:t>
            </w:r>
          </w:p>
        </w:tc>
      </w:tr>
      <w:tr w14:paraId="34B17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5" w:hRule="atLeast"/>
        </w:trPr>
        <w:tc>
          <w:tcPr>
            <w:tcW w:w="595" w:type="pct"/>
            <w:shd w:val="clear" w:color="auto" w:fill="auto"/>
            <w:vAlign w:val="center"/>
          </w:tcPr>
          <w:p w14:paraId="3081C98E">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陈韵扬</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陈玲珠</w:t>
            </w:r>
          </w:p>
        </w:tc>
        <w:tc>
          <w:tcPr>
            <w:tcW w:w="2073" w:type="pct"/>
            <w:shd w:val="clear" w:color="auto" w:fill="auto"/>
            <w:vAlign w:val="center"/>
          </w:tcPr>
          <w:p w14:paraId="5810948D">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浙江浙杭（温岭）律师事务所</w:t>
            </w:r>
          </w:p>
        </w:tc>
        <w:tc>
          <w:tcPr>
            <w:tcW w:w="2331" w:type="pct"/>
            <w:shd w:val="clear" w:color="auto" w:fill="auto"/>
            <w:vAlign w:val="center"/>
          </w:tcPr>
          <w:p w14:paraId="4989451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城镇化背景下离婚诉讼中拆迁权益分割的法律适用困境与破解路径——基于浙江司法实践的实证研究</w:t>
            </w:r>
          </w:p>
        </w:tc>
      </w:tr>
      <w:tr w14:paraId="557F3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595" w:type="pct"/>
            <w:shd w:val="clear" w:color="auto" w:fill="auto"/>
            <w:vAlign w:val="center"/>
          </w:tcPr>
          <w:p w14:paraId="4DBDD1EB">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何毅琦</w:t>
            </w:r>
          </w:p>
        </w:tc>
        <w:tc>
          <w:tcPr>
            <w:tcW w:w="2073" w:type="pct"/>
            <w:shd w:val="clear" w:color="auto" w:fill="auto"/>
            <w:vAlign w:val="center"/>
          </w:tcPr>
          <w:p w14:paraId="34BB61E9">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浙江五联（义乌）律师事务所</w:t>
            </w:r>
          </w:p>
        </w:tc>
        <w:tc>
          <w:tcPr>
            <w:tcW w:w="2331" w:type="pct"/>
            <w:shd w:val="clear" w:color="auto" w:fill="auto"/>
            <w:vAlign w:val="center"/>
          </w:tcPr>
          <w:p w14:paraId="2FBA01A7">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法律社会学视野中的法律规范分析</w:t>
            </w:r>
          </w:p>
        </w:tc>
      </w:tr>
      <w:tr w14:paraId="051FD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1D90EF5C">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范万兵</w:t>
            </w:r>
          </w:p>
        </w:tc>
        <w:tc>
          <w:tcPr>
            <w:tcW w:w="2073" w:type="pct"/>
            <w:shd w:val="clear" w:color="auto" w:fill="auto"/>
            <w:vAlign w:val="center"/>
          </w:tcPr>
          <w:p w14:paraId="3F1D145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北京金诚同达（杭州）律师事务所</w:t>
            </w:r>
          </w:p>
        </w:tc>
        <w:tc>
          <w:tcPr>
            <w:tcW w:w="2331" w:type="pct"/>
            <w:shd w:val="clear" w:color="auto" w:fill="auto"/>
            <w:vAlign w:val="center"/>
          </w:tcPr>
          <w:p w14:paraId="256B880E">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“信托击穿”的原因、司法认定与实务应对</w:t>
            </w:r>
          </w:p>
        </w:tc>
      </w:tr>
      <w:tr w14:paraId="439C8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44E97F22">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李延锁</w:t>
            </w:r>
          </w:p>
        </w:tc>
        <w:tc>
          <w:tcPr>
            <w:tcW w:w="2073" w:type="pct"/>
            <w:shd w:val="clear" w:color="auto" w:fill="auto"/>
            <w:vAlign w:val="center"/>
          </w:tcPr>
          <w:p w14:paraId="6C69416D">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浙江震瓯律师事务所</w:t>
            </w:r>
          </w:p>
        </w:tc>
        <w:tc>
          <w:tcPr>
            <w:tcW w:w="2331" w:type="pct"/>
            <w:shd w:val="clear" w:color="auto" w:fill="auto"/>
            <w:vAlign w:val="center"/>
          </w:tcPr>
          <w:p w14:paraId="1B2BC165">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论深度伪造技术背景下的视频证据验真—以美国理论和实践为例</w:t>
            </w:r>
          </w:p>
        </w:tc>
      </w:tr>
      <w:tr w14:paraId="60ADF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1FF9D7FF">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王忠涨</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卢佳盈</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赵一斐</w:t>
            </w:r>
          </w:p>
        </w:tc>
        <w:tc>
          <w:tcPr>
            <w:tcW w:w="2073" w:type="pct"/>
            <w:shd w:val="clear" w:color="auto" w:fill="auto"/>
            <w:vAlign w:val="center"/>
          </w:tcPr>
          <w:p w14:paraId="219F6657">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浙江京衡律师事务所</w:t>
            </w:r>
          </w:p>
        </w:tc>
        <w:tc>
          <w:tcPr>
            <w:tcW w:w="2331" w:type="pct"/>
            <w:shd w:val="clear" w:color="auto" w:fill="auto"/>
            <w:vAlign w:val="center"/>
          </w:tcPr>
          <w:p w14:paraId="67A131D8">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“先票后款”模式下付款方的双重风险与破解路径构建—基于民事与税务规则的冲突与协调</w:t>
            </w:r>
          </w:p>
        </w:tc>
      </w:tr>
      <w:tr w14:paraId="6F1C6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3732F191">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钱春梅</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虞企煌</w:t>
            </w:r>
          </w:p>
        </w:tc>
        <w:tc>
          <w:tcPr>
            <w:tcW w:w="2073" w:type="pct"/>
            <w:shd w:val="clear" w:color="auto" w:fill="auto"/>
            <w:vAlign w:val="center"/>
          </w:tcPr>
          <w:p w14:paraId="7698E107">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北京京师（杭州）律师事务所</w:t>
            </w:r>
          </w:p>
        </w:tc>
        <w:tc>
          <w:tcPr>
            <w:tcW w:w="2331" w:type="pct"/>
            <w:shd w:val="clear" w:color="auto" w:fill="auto"/>
            <w:vAlign w:val="center"/>
          </w:tcPr>
          <w:p w14:paraId="16025088">
            <w:pPr>
              <w:keepNext w:val="0"/>
              <w:keepLines w:val="0"/>
              <w:widowControl/>
              <w:suppressLineNumbers w:val="0"/>
              <w:jc w:val="center"/>
              <w:textAlignment w:val="center"/>
              <w:rPr>
                <w:rFonts w:hint="eastAsia" w:ascii="仿宋_GB2312" w:hAnsi="仿宋_GB2312" w:eastAsia="仿宋_GB2312" w:cs="仿宋_GB2312"/>
                <w:i w:val="0"/>
                <w:iCs w:val="0"/>
                <w:color w:val="000000"/>
                <w:kern w:val="0"/>
                <w:sz w:val="28"/>
                <w:szCs w:val="28"/>
                <w:u w:val="none" w:color="000000"/>
                <w:lang w:val="en-US" w:eastAsia="zh-CN" w:bidi="ar"/>
              </w:rPr>
            </w:pPr>
            <w:r>
              <w:rPr>
                <w:rFonts w:hint="eastAsia" w:ascii="仿宋_GB2312" w:hAnsi="仿宋_GB2312" w:eastAsia="仿宋_GB2312" w:cs="仿宋_GB2312"/>
                <w:i w:val="0"/>
                <w:iCs w:val="0"/>
                <w:color w:val="000000"/>
                <w:kern w:val="0"/>
                <w:sz w:val="28"/>
                <w:szCs w:val="28"/>
                <w:u w:val="none" w:color="000000"/>
                <w:lang w:val="en-US" w:eastAsia="zh-CN" w:bidi="ar"/>
              </w:rPr>
              <w:t>新《公司法》下资本公积金弥补亏</w:t>
            </w:r>
          </w:p>
          <w:p w14:paraId="732A2BE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损的探讨——兼论“法财税”的差异与统一</w:t>
            </w:r>
          </w:p>
        </w:tc>
      </w:tr>
      <w:tr w14:paraId="2AA3D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4335ADAC">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王一然</w:t>
            </w:r>
          </w:p>
        </w:tc>
        <w:tc>
          <w:tcPr>
            <w:tcW w:w="2073" w:type="pct"/>
            <w:shd w:val="clear" w:color="auto" w:fill="auto"/>
            <w:vAlign w:val="center"/>
          </w:tcPr>
          <w:p w14:paraId="739547B2">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北京安理（杭州）律师事务所</w:t>
            </w:r>
          </w:p>
        </w:tc>
        <w:tc>
          <w:tcPr>
            <w:tcW w:w="2331" w:type="pct"/>
            <w:shd w:val="clear" w:color="auto" w:fill="auto"/>
            <w:vAlign w:val="center"/>
          </w:tcPr>
          <w:p w14:paraId="5D9769B7">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清算组成员违反通知义务的责任认定——以清算组成员为视角</w:t>
            </w:r>
          </w:p>
        </w:tc>
      </w:tr>
      <w:tr w14:paraId="3740F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595" w:type="pct"/>
            <w:shd w:val="clear" w:color="auto" w:fill="auto"/>
            <w:vAlign w:val="center"/>
          </w:tcPr>
          <w:p w14:paraId="4BCD6490">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徐富明</w:t>
            </w:r>
          </w:p>
        </w:tc>
        <w:tc>
          <w:tcPr>
            <w:tcW w:w="2073" w:type="pct"/>
            <w:shd w:val="clear" w:color="auto" w:fill="auto"/>
            <w:vAlign w:val="center"/>
          </w:tcPr>
          <w:p w14:paraId="2A3A0EB3">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上海兰迪（温州）律师事务所</w:t>
            </w:r>
          </w:p>
        </w:tc>
        <w:tc>
          <w:tcPr>
            <w:tcW w:w="2331" w:type="pct"/>
            <w:shd w:val="clear" w:color="auto" w:fill="auto"/>
            <w:vAlign w:val="center"/>
          </w:tcPr>
          <w:p w14:paraId="43699FB5">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论专利侵权诉讼案件中商标所有者合法来源抗辩的适用</w:t>
            </w:r>
          </w:p>
        </w:tc>
      </w:tr>
      <w:tr w14:paraId="73EB5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0" w:type="auto"/>
            <w:shd w:val="clear" w:color="auto" w:fill="auto"/>
            <w:vAlign w:val="center"/>
          </w:tcPr>
          <w:p w14:paraId="4EE7261A">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王红燕</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陆玲玲</w:t>
            </w:r>
            <w:r>
              <w:rPr>
                <w:rFonts w:hint="eastAsia" w:ascii="仿宋_GB2312" w:hAnsi="仿宋_GB2312" w:eastAsia="仿宋_GB2312" w:cs="仿宋_GB2312"/>
                <w:i w:val="0"/>
                <w:iCs w:val="0"/>
                <w:color w:val="000000"/>
                <w:kern w:val="0"/>
                <w:sz w:val="28"/>
                <w:szCs w:val="28"/>
                <w:u w:val="none" w:color="000000"/>
                <w:lang w:val="en-US" w:eastAsia="zh-CN" w:bidi="ar"/>
              </w:rPr>
              <w:br w:type="textWrapping"/>
            </w:r>
            <w:r>
              <w:rPr>
                <w:rFonts w:hint="eastAsia" w:ascii="仿宋_GB2312" w:hAnsi="仿宋_GB2312" w:eastAsia="仿宋_GB2312" w:cs="仿宋_GB2312"/>
                <w:i w:val="0"/>
                <w:iCs w:val="0"/>
                <w:color w:val="000000"/>
                <w:kern w:val="0"/>
                <w:sz w:val="28"/>
                <w:szCs w:val="28"/>
                <w:u w:val="none" w:color="000000"/>
                <w:lang w:val="en-US" w:eastAsia="zh-CN" w:bidi="ar"/>
              </w:rPr>
              <w:t>董思薇</w:t>
            </w:r>
          </w:p>
        </w:tc>
        <w:tc>
          <w:tcPr>
            <w:tcW w:w="2073" w:type="pct"/>
            <w:shd w:val="clear" w:color="auto" w:fill="auto"/>
            <w:vAlign w:val="center"/>
          </w:tcPr>
          <w:p w14:paraId="1418B1C2">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北京中伦（杭州）律师事务所</w:t>
            </w:r>
          </w:p>
        </w:tc>
        <w:tc>
          <w:tcPr>
            <w:tcW w:w="2331" w:type="pct"/>
            <w:shd w:val="clear" w:color="auto" w:fill="auto"/>
            <w:vAlign w:val="center"/>
          </w:tcPr>
          <w:p w14:paraId="3915C044">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涉人工智能大模型案件管辖问题研究</w:t>
            </w:r>
          </w:p>
        </w:tc>
      </w:tr>
      <w:tr w14:paraId="3248F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0" w:hRule="atLeast"/>
        </w:trPr>
        <w:tc>
          <w:tcPr>
            <w:tcW w:w="0" w:type="auto"/>
            <w:shd w:val="clear" w:color="auto" w:fill="auto"/>
            <w:vAlign w:val="center"/>
          </w:tcPr>
          <w:p w14:paraId="4F42369F">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 xml:space="preserve">朱圣勇 </w:t>
            </w:r>
          </w:p>
        </w:tc>
        <w:tc>
          <w:tcPr>
            <w:tcW w:w="2073" w:type="pct"/>
            <w:shd w:val="clear" w:color="auto" w:fill="auto"/>
            <w:vAlign w:val="center"/>
          </w:tcPr>
          <w:p w14:paraId="63F77C10">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浙江咨道律师事务所</w:t>
            </w:r>
          </w:p>
        </w:tc>
        <w:tc>
          <w:tcPr>
            <w:tcW w:w="2331" w:type="pct"/>
            <w:shd w:val="clear" w:color="auto" w:fill="auto"/>
            <w:vAlign w:val="center"/>
          </w:tcPr>
          <w:p w14:paraId="6E09D196">
            <w:pPr>
              <w:keepNext w:val="0"/>
              <w:keepLines w:val="0"/>
              <w:widowControl/>
              <w:suppressLineNumbers w:val="0"/>
              <w:jc w:val="center"/>
              <w:textAlignment w:val="center"/>
              <w:rPr>
                <w:rFonts w:hint="eastAsia" w:ascii="仿宋_GB2312" w:hAnsi="仿宋_GB2312" w:eastAsia="仿宋_GB2312" w:cs="仿宋_GB2312"/>
                <w:i w:val="0"/>
                <w:iCs w:val="0"/>
                <w:color w:val="000000"/>
                <w:sz w:val="28"/>
                <w:szCs w:val="28"/>
                <w:u w:val="none" w:color="000000"/>
                <w:lang w:val="en-US" w:eastAsia="zh-CN" w:bidi="ar-SA"/>
              </w:rPr>
            </w:pPr>
            <w:r>
              <w:rPr>
                <w:rFonts w:hint="eastAsia" w:ascii="仿宋_GB2312" w:hAnsi="仿宋_GB2312" w:eastAsia="仿宋_GB2312" w:cs="仿宋_GB2312"/>
                <w:i w:val="0"/>
                <w:iCs w:val="0"/>
                <w:color w:val="000000"/>
                <w:kern w:val="0"/>
                <w:sz w:val="28"/>
                <w:szCs w:val="28"/>
                <w:u w:val="none" w:color="000000"/>
                <w:lang w:val="en-US" w:eastAsia="zh-CN" w:bidi="ar"/>
              </w:rPr>
              <w:t>民办非企业幼儿园退出机制法律实务研究</w:t>
            </w:r>
          </w:p>
        </w:tc>
      </w:tr>
    </w:tbl>
    <w:p w14:paraId="284CF95F">
      <w:pPr>
        <w:rPr>
          <w:color w:val="auto"/>
          <w:sz w:val="10"/>
          <w:szCs w:val="10"/>
        </w:rPr>
      </w:pPr>
      <w:bookmarkStart w:id="0" w:name="_GoBack"/>
      <w:bookmarkEnd w:id="0"/>
    </w:p>
    <w:sectPr>
      <w:footerReference r:id="rId5" w:type="default"/>
      <w:footerReference r:id="rId6" w:type="even"/>
      <w:pgSz w:w="11906" w:h="16838"/>
      <w:pgMar w:top="2098" w:right="1474" w:bottom="1985" w:left="1588" w:header="567" w:footer="1134" w:gutter="0"/>
      <w:pgBorders>
        <w:top w:val="none" w:sz="0" w:space="0"/>
        <w:left w:val="none" w:sz="0" w:space="0"/>
        <w:bottom w:val="none" w:sz="0" w:space="0"/>
        <w:right w:val="none" w:sz="0" w:space="0"/>
      </w:pgBorders>
      <w:pgNumType w:fmt="numberInDash"/>
      <w:cols w:space="720" w:num="1"/>
      <w:docGrid w:linePitch="618" w:charSpace="-206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CF25207-3875-40F6-8AAA-EEB5F205FBA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41C69F3C-1053-46D4-B1B6-BDB565EB8AF9}"/>
  </w:font>
  <w:font w:name="方正小标宋简体">
    <w:panose1 w:val="03000509000000000000"/>
    <w:charset w:val="86"/>
    <w:family w:val="auto"/>
    <w:pitch w:val="default"/>
    <w:sig w:usb0="00000001" w:usb1="080E0000" w:usb2="00000000" w:usb3="00000000" w:csb0="00040000" w:csb1="00000000"/>
    <w:embedRegular r:id="rId3" w:fontKey="{BD2020EF-1CE7-4565-8874-6934C41EE16B}"/>
  </w:font>
  <w:font w:name="仿宋">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3CFC1E">
    <w:pPr>
      <w:tabs>
        <w:tab w:val="center" w:pos="4153"/>
        <w:tab w:val="right" w:pos="8306"/>
      </w:tabs>
      <w:adjustRightInd w:val="0"/>
      <w:snapToGrid w:val="0"/>
      <w:spacing w:after="200" w:line="240" w:lineRule="auto"/>
      <w:jc w:val="right"/>
      <w:textAlignment w:val="auto"/>
      <w:rPr>
        <w:rFonts w:ascii="仿宋_GB2312"/>
        <w:color w:val="auto"/>
        <w:sz w:val="28"/>
        <w:szCs w:val="28"/>
      </w:rPr>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Pr>
        <w:rFonts w:ascii="仿宋_GB2312"/>
        <w:color w:val="auto"/>
        <w:sz w:val="28"/>
        <w:szCs w:val="28"/>
        <w:lang w:val="zh-CN"/>
      </w:rPr>
      <w:t>-</w:t>
    </w:r>
    <w:r>
      <w:rPr>
        <w:rFonts w:ascii="仿宋_GB2312"/>
        <w:color w:val="auto"/>
        <w:sz w:val="28"/>
        <w:szCs w:val="28"/>
      </w:rPr>
      <w:t xml:space="preserve"> 1 -</w:t>
    </w:r>
    <w:r>
      <w:rPr>
        <w:rFonts w:ascii="仿宋_GB2312"/>
        <w:color w:val="auto"/>
        <w:sz w:val="28"/>
        <w:szCs w:val="2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46B0C">
    <w:pPr>
      <w:tabs>
        <w:tab w:val="center" w:pos="4153"/>
        <w:tab w:val="right" w:pos="8306"/>
      </w:tabs>
      <w:adjustRightInd w:val="0"/>
      <w:snapToGrid w:val="0"/>
      <w:spacing w:after="200" w:line="240" w:lineRule="auto"/>
      <w:jc w:val="left"/>
      <w:textAlignment w:val="auto"/>
      <w:rPr>
        <w:rFonts w:ascii="仿宋_GB2312"/>
        <w:color w:val="auto"/>
        <w:sz w:val="28"/>
        <w:szCs w:val="28"/>
      </w:rPr>
    </w:pPr>
    <w:r>
      <w:rPr>
        <w:rFonts w:ascii="仿宋_GB2312"/>
        <w:color w:val="auto"/>
        <w:sz w:val="28"/>
        <w:szCs w:val="28"/>
      </w:rPr>
      <w:fldChar w:fldCharType="begin"/>
    </w:r>
    <w:r>
      <w:rPr>
        <w:rFonts w:ascii="仿宋_GB2312"/>
        <w:color w:val="auto"/>
        <w:sz w:val="28"/>
        <w:szCs w:val="28"/>
      </w:rPr>
      <w:instrText xml:space="preserve"> PAGE   \* MERGEFORMAT </w:instrText>
    </w:r>
    <w:r>
      <w:rPr>
        <w:rFonts w:ascii="仿宋_GB2312"/>
        <w:color w:val="auto"/>
        <w:sz w:val="28"/>
        <w:szCs w:val="28"/>
      </w:rPr>
      <w:fldChar w:fldCharType="separate"/>
    </w:r>
    <w:r>
      <w:rPr>
        <w:rFonts w:ascii="仿宋_GB2312"/>
        <w:color w:val="auto"/>
        <w:sz w:val="28"/>
        <w:szCs w:val="28"/>
        <w:lang w:val="zh-CN"/>
      </w:rPr>
      <w:t>-</w:t>
    </w:r>
    <w:r>
      <w:rPr>
        <w:rFonts w:ascii="仿宋_GB2312"/>
        <w:color w:val="auto"/>
        <w:sz w:val="28"/>
        <w:szCs w:val="28"/>
      </w:rPr>
      <w:t xml:space="preserve"> 10 -</w:t>
    </w:r>
    <w:r>
      <w:rPr>
        <w:rFonts w:ascii="仿宋_GB2312"/>
        <w:color w:val="auto"/>
        <w:sz w:val="28"/>
        <w:szCs w:val="2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0"/>
  <w:bordersDoNotSurroundFooter w:val="0"/>
  <w:documentProtection w:enforcement="0"/>
  <w:defaultTabStop w:val="420"/>
  <w:evenAndOddHeaders w:val="1"/>
  <w:drawingGridHorizontalSpacing w:val="155"/>
  <w:drawingGridVerticalSpacing w:val="309"/>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kZmZkOWIzMGI5MWRlNTUzOTZiZjc2NWE3NjdkNmMifQ=="/>
  </w:docVars>
  <w:rsids>
    <w:rsidRoot w:val="5ECF1AD4"/>
    <w:rsid w:val="00025CED"/>
    <w:rsid w:val="00030574"/>
    <w:rsid w:val="00047005"/>
    <w:rsid w:val="00055F33"/>
    <w:rsid w:val="000567E6"/>
    <w:rsid w:val="00056C85"/>
    <w:rsid w:val="0007301A"/>
    <w:rsid w:val="00094D57"/>
    <w:rsid w:val="000A51AB"/>
    <w:rsid w:val="000A7B83"/>
    <w:rsid w:val="000B5BF0"/>
    <w:rsid w:val="000F396B"/>
    <w:rsid w:val="000F447C"/>
    <w:rsid w:val="00114271"/>
    <w:rsid w:val="001230FC"/>
    <w:rsid w:val="00153527"/>
    <w:rsid w:val="0015616E"/>
    <w:rsid w:val="00160635"/>
    <w:rsid w:val="001654FD"/>
    <w:rsid w:val="00190BA0"/>
    <w:rsid w:val="00197103"/>
    <w:rsid w:val="001B5329"/>
    <w:rsid w:val="001D370C"/>
    <w:rsid w:val="001D516A"/>
    <w:rsid w:val="001D5F74"/>
    <w:rsid w:val="001E1E0F"/>
    <w:rsid w:val="001E6269"/>
    <w:rsid w:val="001F5747"/>
    <w:rsid w:val="001F7BEA"/>
    <w:rsid w:val="002122DA"/>
    <w:rsid w:val="0022683E"/>
    <w:rsid w:val="00231199"/>
    <w:rsid w:val="00232B33"/>
    <w:rsid w:val="0023566F"/>
    <w:rsid w:val="00241BF5"/>
    <w:rsid w:val="00245490"/>
    <w:rsid w:val="0026148A"/>
    <w:rsid w:val="00265A72"/>
    <w:rsid w:val="00266310"/>
    <w:rsid w:val="00274184"/>
    <w:rsid w:val="00285128"/>
    <w:rsid w:val="00290CFB"/>
    <w:rsid w:val="00293886"/>
    <w:rsid w:val="00293E5C"/>
    <w:rsid w:val="002B22F1"/>
    <w:rsid w:val="002B7076"/>
    <w:rsid w:val="002D368D"/>
    <w:rsid w:val="003060D6"/>
    <w:rsid w:val="00320747"/>
    <w:rsid w:val="00320D34"/>
    <w:rsid w:val="00321A92"/>
    <w:rsid w:val="003247C1"/>
    <w:rsid w:val="00345253"/>
    <w:rsid w:val="0034708B"/>
    <w:rsid w:val="00351A9F"/>
    <w:rsid w:val="0036512E"/>
    <w:rsid w:val="00385FDB"/>
    <w:rsid w:val="003C53C8"/>
    <w:rsid w:val="00412049"/>
    <w:rsid w:val="00416938"/>
    <w:rsid w:val="0042779E"/>
    <w:rsid w:val="00432AE7"/>
    <w:rsid w:val="00447D80"/>
    <w:rsid w:val="004548CA"/>
    <w:rsid w:val="00480CE3"/>
    <w:rsid w:val="00483C37"/>
    <w:rsid w:val="004C5899"/>
    <w:rsid w:val="004D31EC"/>
    <w:rsid w:val="004D6F99"/>
    <w:rsid w:val="004E21D9"/>
    <w:rsid w:val="004E358D"/>
    <w:rsid w:val="004E4161"/>
    <w:rsid w:val="004E52B1"/>
    <w:rsid w:val="00502BCC"/>
    <w:rsid w:val="00504256"/>
    <w:rsid w:val="00504A18"/>
    <w:rsid w:val="005403AD"/>
    <w:rsid w:val="00544BDE"/>
    <w:rsid w:val="00547197"/>
    <w:rsid w:val="00550E19"/>
    <w:rsid w:val="0055727C"/>
    <w:rsid w:val="0057697C"/>
    <w:rsid w:val="005822E5"/>
    <w:rsid w:val="00585D70"/>
    <w:rsid w:val="0058654A"/>
    <w:rsid w:val="005901D3"/>
    <w:rsid w:val="00597B71"/>
    <w:rsid w:val="005B41A9"/>
    <w:rsid w:val="005C48D9"/>
    <w:rsid w:val="005D158C"/>
    <w:rsid w:val="005E30A1"/>
    <w:rsid w:val="005E37D7"/>
    <w:rsid w:val="005F6765"/>
    <w:rsid w:val="005F736D"/>
    <w:rsid w:val="006709F7"/>
    <w:rsid w:val="00691CF8"/>
    <w:rsid w:val="00697A85"/>
    <w:rsid w:val="006A34B3"/>
    <w:rsid w:val="006B50EB"/>
    <w:rsid w:val="006C16C4"/>
    <w:rsid w:val="006C5CB0"/>
    <w:rsid w:val="006D478F"/>
    <w:rsid w:val="006D4F2A"/>
    <w:rsid w:val="006E1907"/>
    <w:rsid w:val="006E3E94"/>
    <w:rsid w:val="006F5EB6"/>
    <w:rsid w:val="00700400"/>
    <w:rsid w:val="0070558B"/>
    <w:rsid w:val="00715394"/>
    <w:rsid w:val="00723358"/>
    <w:rsid w:val="00731991"/>
    <w:rsid w:val="007337CA"/>
    <w:rsid w:val="00733A80"/>
    <w:rsid w:val="007623ED"/>
    <w:rsid w:val="00786D94"/>
    <w:rsid w:val="00797A5A"/>
    <w:rsid w:val="007A49F0"/>
    <w:rsid w:val="007D30F9"/>
    <w:rsid w:val="007E2AA5"/>
    <w:rsid w:val="008145BF"/>
    <w:rsid w:val="008153F3"/>
    <w:rsid w:val="0083797A"/>
    <w:rsid w:val="00840E4E"/>
    <w:rsid w:val="008520F5"/>
    <w:rsid w:val="00857CF7"/>
    <w:rsid w:val="00866FA7"/>
    <w:rsid w:val="00886FAF"/>
    <w:rsid w:val="00897EAE"/>
    <w:rsid w:val="008A2A29"/>
    <w:rsid w:val="008F28FB"/>
    <w:rsid w:val="009006FB"/>
    <w:rsid w:val="0093300A"/>
    <w:rsid w:val="00962D3B"/>
    <w:rsid w:val="009673E4"/>
    <w:rsid w:val="00967452"/>
    <w:rsid w:val="009803D5"/>
    <w:rsid w:val="0099293F"/>
    <w:rsid w:val="009F327C"/>
    <w:rsid w:val="009F505B"/>
    <w:rsid w:val="009F649D"/>
    <w:rsid w:val="00A05383"/>
    <w:rsid w:val="00A14C6E"/>
    <w:rsid w:val="00A16DBF"/>
    <w:rsid w:val="00A335BF"/>
    <w:rsid w:val="00A6418A"/>
    <w:rsid w:val="00A73E49"/>
    <w:rsid w:val="00A7622A"/>
    <w:rsid w:val="00A93657"/>
    <w:rsid w:val="00AA1CED"/>
    <w:rsid w:val="00AA77A8"/>
    <w:rsid w:val="00AB0E73"/>
    <w:rsid w:val="00AB31F6"/>
    <w:rsid w:val="00AD310F"/>
    <w:rsid w:val="00AE377D"/>
    <w:rsid w:val="00AF55F8"/>
    <w:rsid w:val="00B02158"/>
    <w:rsid w:val="00B2585B"/>
    <w:rsid w:val="00B36B92"/>
    <w:rsid w:val="00B569C2"/>
    <w:rsid w:val="00B746A7"/>
    <w:rsid w:val="00B97036"/>
    <w:rsid w:val="00BC2044"/>
    <w:rsid w:val="00BD2FBB"/>
    <w:rsid w:val="00BF6F03"/>
    <w:rsid w:val="00C060B1"/>
    <w:rsid w:val="00C533C8"/>
    <w:rsid w:val="00C8171D"/>
    <w:rsid w:val="00C92D61"/>
    <w:rsid w:val="00C93CD5"/>
    <w:rsid w:val="00CB4417"/>
    <w:rsid w:val="00CC005F"/>
    <w:rsid w:val="00CC4F61"/>
    <w:rsid w:val="00CD29F8"/>
    <w:rsid w:val="00CE34A3"/>
    <w:rsid w:val="00CF57C4"/>
    <w:rsid w:val="00D13643"/>
    <w:rsid w:val="00D24F3F"/>
    <w:rsid w:val="00D42670"/>
    <w:rsid w:val="00D4597E"/>
    <w:rsid w:val="00D55874"/>
    <w:rsid w:val="00D56353"/>
    <w:rsid w:val="00D64A0C"/>
    <w:rsid w:val="00D67F57"/>
    <w:rsid w:val="00DA3D10"/>
    <w:rsid w:val="00DA3E42"/>
    <w:rsid w:val="00DA64CA"/>
    <w:rsid w:val="00DB2114"/>
    <w:rsid w:val="00DB72C9"/>
    <w:rsid w:val="00DC0BBE"/>
    <w:rsid w:val="00DD02BC"/>
    <w:rsid w:val="00E011C5"/>
    <w:rsid w:val="00E01609"/>
    <w:rsid w:val="00E065BB"/>
    <w:rsid w:val="00E22F8D"/>
    <w:rsid w:val="00E264C7"/>
    <w:rsid w:val="00E3357B"/>
    <w:rsid w:val="00E3482D"/>
    <w:rsid w:val="00E41E26"/>
    <w:rsid w:val="00E42FA4"/>
    <w:rsid w:val="00E437DD"/>
    <w:rsid w:val="00E5221B"/>
    <w:rsid w:val="00E564D0"/>
    <w:rsid w:val="00E73B7C"/>
    <w:rsid w:val="00E76B3A"/>
    <w:rsid w:val="00E77E64"/>
    <w:rsid w:val="00E95F14"/>
    <w:rsid w:val="00E96805"/>
    <w:rsid w:val="00EA26BA"/>
    <w:rsid w:val="00EA3B50"/>
    <w:rsid w:val="00EB4484"/>
    <w:rsid w:val="00EB4623"/>
    <w:rsid w:val="00ED145D"/>
    <w:rsid w:val="00ED3ECB"/>
    <w:rsid w:val="00ED6B1A"/>
    <w:rsid w:val="00EF6776"/>
    <w:rsid w:val="00F10D1B"/>
    <w:rsid w:val="00F133DF"/>
    <w:rsid w:val="00F31AFB"/>
    <w:rsid w:val="00F56B72"/>
    <w:rsid w:val="00F57C2F"/>
    <w:rsid w:val="00F602D1"/>
    <w:rsid w:val="00F745B6"/>
    <w:rsid w:val="00F93F95"/>
    <w:rsid w:val="00FA69C7"/>
    <w:rsid w:val="00FD5AE1"/>
    <w:rsid w:val="00FE5109"/>
    <w:rsid w:val="01D35129"/>
    <w:rsid w:val="01F40F97"/>
    <w:rsid w:val="02234BBB"/>
    <w:rsid w:val="0590236B"/>
    <w:rsid w:val="06504D07"/>
    <w:rsid w:val="0AAC68B2"/>
    <w:rsid w:val="0CD5365F"/>
    <w:rsid w:val="0CFA3334"/>
    <w:rsid w:val="13DD25D5"/>
    <w:rsid w:val="14BE28A2"/>
    <w:rsid w:val="156244EC"/>
    <w:rsid w:val="16425EFB"/>
    <w:rsid w:val="16985F3D"/>
    <w:rsid w:val="17501DD7"/>
    <w:rsid w:val="17CB527B"/>
    <w:rsid w:val="1B5534E1"/>
    <w:rsid w:val="1E0539D6"/>
    <w:rsid w:val="24966267"/>
    <w:rsid w:val="27696756"/>
    <w:rsid w:val="280D23F0"/>
    <w:rsid w:val="29812E27"/>
    <w:rsid w:val="2D411B5C"/>
    <w:rsid w:val="2E5B686B"/>
    <w:rsid w:val="2F31050A"/>
    <w:rsid w:val="2FCC0A00"/>
    <w:rsid w:val="31AD3D05"/>
    <w:rsid w:val="325D3E6B"/>
    <w:rsid w:val="3AE07E35"/>
    <w:rsid w:val="3B7F4E52"/>
    <w:rsid w:val="3D9B7F3D"/>
    <w:rsid w:val="3EBC63BD"/>
    <w:rsid w:val="40B05AAD"/>
    <w:rsid w:val="425A03C6"/>
    <w:rsid w:val="45F4468E"/>
    <w:rsid w:val="46AF47EF"/>
    <w:rsid w:val="489F4D85"/>
    <w:rsid w:val="4B4B1575"/>
    <w:rsid w:val="4C4B4D44"/>
    <w:rsid w:val="4F0926BC"/>
    <w:rsid w:val="54C11331"/>
    <w:rsid w:val="566364ED"/>
    <w:rsid w:val="567C4958"/>
    <w:rsid w:val="58C33086"/>
    <w:rsid w:val="5B471520"/>
    <w:rsid w:val="5B4A6F6D"/>
    <w:rsid w:val="5B620A5D"/>
    <w:rsid w:val="5E26182A"/>
    <w:rsid w:val="5ECF1AD4"/>
    <w:rsid w:val="5F27056E"/>
    <w:rsid w:val="61744E64"/>
    <w:rsid w:val="62492E83"/>
    <w:rsid w:val="62FF66F4"/>
    <w:rsid w:val="63927568"/>
    <w:rsid w:val="646D1D84"/>
    <w:rsid w:val="65F04A1A"/>
    <w:rsid w:val="66E83943"/>
    <w:rsid w:val="674C0B08"/>
    <w:rsid w:val="6B525A47"/>
    <w:rsid w:val="6BA32FAA"/>
    <w:rsid w:val="6DB41BE4"/>
    <w:rsid w:val="71397275"/>
    <w:rsid w:val="72DA4A88"/>
    <w:rsid w:val="736507F6"/>
    <w:rsid w:val="74BC7B84"/>
    <w:rsid w:val="75492FFC"/>
    <w:rsid w:val="76036776"/>
    <w:rsid w:val="763B122C"/>
    <w:rsid w:val="780F0D30"/>
    <w:rsid w:val="7840433D"/>
    <w:rsid w:val="7AE82CDE"/>
    <w:rsid w:val="7B6723B7"/>
    <w:rsid w:val="7C176405"/>
    <w:rsid w:val="7C2009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538" w:lineRule="atLeast"/>
      <w:jc w:val="both"/>
      <w:textAlignment w:val="baseline"/>
    </w:pPr>
    <w:rPr>
      <w:rFonts w:ascii="Times New Roman" w:hAnsi="Times New Roman" w:eastAsia="仿宋_GB2312" w:cs="Times New Roman"/>
      <w:color w:val="000000"/>
      <w:sz w:val="32"/>
      <w:u w:color="000000"/>
      <w:lang w:val="en-US" w:eastAsia="zh-CN" w:bidi="ar-SA"/>
    </w:rPr>
  </w:style>
  <w:style w:type="paragraph" w:styleId="2">
    <w:name w:val="heading 1"/>
    <w:basedOn w:val="1"/>
    <w:next w:val="1"/>
    <w:link w:val="17"/>
    <w:qFormat/>
    <w:uiPriority w:val="9"/>
    <w:pPr>
      <w:keepNext/>
      <w:keepLines/>
      <w:widowControl w:val="0"/>
      <w:spacing w:before="300" w:after="300" w:line="700" w:lineRule="exact"/>
      <w:jc w:val="center"/>
      <w:textAlignment w:val="auto"/>
      <w:outlineLvl w:val="0"/>
    </w:pPr>
    <w:rPr>
      <w:rFonts w:ascii="Calibri" w:hAnsi="Calibri" w:eastAsia="方正小标宋简体"/>
      <w:b/>
      <w:bCs/>
      <w:color w:val="auto"/>
      <w:kern w:val="44"/>
      <w:sz w:val="44"/>
      <w:szCs w:val="44"/>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Date"/>
    <w:basedOn w:val="1"/>
    <w:next w:val="1"/>
    <w:link w:val="15"/>
    <w:qFormat/>
    <w:uiPriority w:val="0"/>
    <w:pPr>
      <w:ind w:left="100" w:leftChars="2500"/>
    </w:pPr>
  </w:style>
  <w:style w:type="paragraph" w:styleId="4">
    <w:name w:val="Balloon Text"/>
    <w:basedOn w:val="1"/>
    <w:link w:val="14"/>
    <w:qFormat/>
    <w:uiPriority w:val="0"/>
    <w:pPr>
      <w:spacing w:line="240" w:lineRule="auto"/>
    </w:pPr>
    <w:rPr>
      <w:sz w:val="18"/>
      <w:szCs w:val="18"/>
    </w:rPr>
  </w:style>
  <w:style w:type="paragraph" w:styleId="5">
    <w:name w:val="footer"/>
    <w:basedOn w:val="1"/>
    <w:link w:val="13"/>
    <w:qFormat/>
    <w:uiPriority w:val="0"/>
    <w:pPr>
      <w:tabs>
        <w:tab w:val="center" w:pos="4153"/>
        <w:tab w:val="right" w:pos="8306"/>
      </w:tabs>
      <w:snapToGrid w:val="0"/>
      <w:spacing w:line="240" w:lineRule="atLeast"/>
      <w:jc w:val="left"/>
    </w:pPr>
    <w:rPr>
      <w:sz w:val="18"/>
      <w:szCs w:val="18"/>
    </w:rPr>
  </w:style>
  <w:style w:type="paragraph" w:styleId="6">
    <w:name w:val="header"/>
    <w:basedOn w:val="1"/>
    <w:link w:val="12"/>
    <w:qFormat/>
    <w:uiPriority w:val="0"/>
    <w:pPr>
      <w:pBdr>
        <w:bottom w:val="single" w:color="auto" w:sz="6" w:space="1"/>
      </w:pBdr>
      <w:tabs>
        <w:tab w:val="center" w:pos="4153"/>
        <w:tab w:val="right" w:pos="8306"/>
      </w:tabs>
      <w:snapToGrid w:val="0"/>
      <w:spacing w:line="240" w:lineRule="atLeast"/>
      <w:jc w:val="center"/>
    </w:pPr>
    <w:rPr>
      <w:sz w:val="18"/>
      <w:szCs w:val="18"/>
    </w:rPr>
  </w:style>
  <w:style w:type="paragraph" w:styleId="7">
    <w:name w:val="Normal (Web)"/>
    <w:basedOn w:val="1"/>
    <w:qFormat/>
    <w:uiPriority w:val="99"/>
    <w:pPr>
      <w:jc w:val="left"/>
    </w:pPr>
    <w:rPr>
      <w:sz w:val="24"/>
    </w:rPr>
  </w:style>
  <w:style w:type="table" w:styleId="9">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
  </w:style>
  <w:style w:type="character" w:styleId="11">
    <w:name w:val="Hyperlink"/>
    <w:basedOn w:val="10"/>
    <w:qFormat/>
    <w:uiPriority w:val="0"/>
    <w:rPr>
      <w:color w:val="000099"/>
      <w:u w:val="none"/>
    </w:rPr>
  </w:style>
  <w:style w:type="character" w:customStyle="1" w:styleId="12">
    <w:name w:val="页眉 Char"/>
    <w:basedOn w:val="10"/>
    <w:link w:val="6"/>
    <w:qFormat/>
    <w:uiPriority w:val="0"/>
    <w:rPr>
      <w:rFonts w:eastAsia="仿宋_GB2312"/>
      <w:color w:val="000000"/>
      <w:sz w:val="18"/>
      <w:szCs w:val="18"/>
      <w:u w:color="000000"/>
    </w:rPr>
  </w:style>
  <w:style w:type="character" w:customStyle="1" w:styleId="13">
    <w:name w:val="页脚 Char"/>
    <w:basedOn w:val="10"/>
    <w:link w:val="5"/>
    <w:qFormat/>
    <w:uiPriority w:val="0"/>
    <w:rPr>
      <w:rFonts w:eastAsia="仿宋_GB2312"/>
      <w:color w:val="000000"/>
      <w:sz w:val="18"/>
      <w:szCs w:val="18"/>
      <w:u w:color="000000"/>
    </w:rPr>
  </w:style>
  <w:style w:type="character" w:customStyle="1" w:styleId="14">
    <w:name w:val="批注框文本 Char"/>
    <w:basedOn w:val="10"/>
    <w:link w:val="4"/>
    <w:qFormat/>
    <w:uiPriority w:val="0"/>
    <w:rPr>
      <w:rFonts w:eastAsia="仿宋_GB2312"/>
      <w:color w:val="000000"/>
      <w:sz w:val="18"/>
      <w:szCs w:val="18"/>
      <w:u w:color="000000"/>
    </w:rPr>
  </w:style>
  <w:style w:type="character" w:customStyle="1" w:styleId="15">
    <w:name w:val="日期 Char"/>
    <w:basedOn w:val="10"/>
    <w:link w:val="3"/>
    <w:qFormat/>
    <w:uiPriority w:val="0"/>
    <w:rPr>
      <w:rFonts w:eastAsia="仿宋_GB2312"/>
      <w:color w:val="000000"/>
      <w:sz w:val="31"/>
      <w:u w:color="000000"/>
    </w:rPr>
  </w:style>
  <w:style w:type="paragraph" w:customStyle="1" w:styleId="16">
    <w:name w:val="列出段落1"/>
    <w:basedOn w:val="1"/>
    <w:unhideWhenUsed/>
    <w:qFormat/>
    <w:uiPriority w:val="99"/>
    <w:pPr>
      <w:widowControl w:val="0"/>
      <w:spacing w:line="240" w:lineRule="auto"/>
      <w:ind w:firstLine="420" w:firstLineChars="200"/>
      <w:textAlignment w:val="auto"/>
    </w:pPr>
    <w:rPr>
      <w:rFonts w:eastAsia="宋体"/>
      <w:color w:val="auto"/>
      <w:kern w:val="2"/>
      <w:sz w:val="21"/>
      <w:szCs w:val="24"/>
    </w:rPr>
  </w:style>
  <w:style w:type="character" w:customStyle="1" w:styleId="17">
    <w:name w:val="标题 1 Char"/>
    <w:basedOn w:val="10"/>
    <w:link w:val="2"/>
    <w:qFormat/>
    <w:uiPriority w:val="9"/>
    <w:rPr>
      <w:rFonts w:ascii="Calibri" w:hAnsi="Calibri" w:eastAsia="方正小标宋简体"/>
      <w:b/>
      <w:bCs/>
      <w:kern w:val="44"/>
      <w:sz w:val="44"/>
      <w:szCs w:val="44"/>
    </w:rPr>
  </w:style>
  <w:style w:type="table" w:customStyle="1" w:styleId="18">
    <w:name w:val="网格型1"/>
    <w:basedOn w:val="8"/>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9">
    <w:name w:val="font11"/>
    <w:basedOn w:val="10"/>
    <w:qFormat/>
    <w:uiPriority w:val="0"/>
    <w:rPr>
      <w:rFonts w:hint="eastAsia" w:ascii="仿宋" w:hAnsi="仿宋" w:eastAsia="仿宋" w:cs="仿宋"/>
      <w:color w:val="000000"/>
      <w:sz w:val="22"/>
      <w:szCs w:val="22"/>
      <w:u w:val="none"/>
    </w:rPr>
  </w:style>
  <w:style w:type="character" w:customStyle="1" w:styleId="20">
    <w:name w:val="font21"/>
    <w:basedOn w:val="10"/>
    <w:qFormat/>
    <w:uiPriority w:val="0"/>
    <w:rPr>
      <w:rFonts w:hint="eastAsia" w:ascii="仿宋" w:hAnsi="仿宋" w:eastAsia="仿宋" w:cs="仿宋"/>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80FFA0-0EC9-4714-A5BF-E7E5031DE977}">
  <ds:schemaRefs/>
</ds:datastoreItem>
</file>

<file path=docProps/app.xml><?xml version="1.0" encoding="utf-8"?>
<Properties xmlns="http://schemas.openxmlformats.org/officeDocument/2006/extended-properties" xmlns:vt="http://schemas.openxmlformats.org/officeDocument/2006/docPropsVTypes">
  <Template>Normal</Template>
  <Pages>8</Pages>
  <Words>287</Words>
  <Characters>315</Characters>
  <Lines>25</Lines>
  <Paragraphs>7</Paragraphs>
  <TotalTime>368</TotalTime>
  <ScaleCrop>false</ScaleCrop>
  <LinksUpToDate>false</LinksUpToDate>
  <CharactersWithSpaces>358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2019-02-15T06:50:00Z</dcterms:created>
  <dc:creator>lq</dc:creator>
  <cp:lastModifiedBy>怂怂</cp:lastModifiedBy>
  <cp:lastPrinted>2026-01-07T07:53:00Z</cp:lastPrinted>
  <dcterms:modified xsi:type="dcterms:W3CDTF">2026-01-08T08:52:47Z</dcterms:modified>
  <cp:revision>161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A7CDD56A891943F2916387B76DB8328F_13</vt:lpwstr>
  </property>
  <property fmtid="{D5CDD505-2E9C-101B-9397-08002B2CF9AE}" pid="4" name="KSOTemplateDocerSaveRecord">
    <vt:lpwstr>eyJoZGlkIjoiZDM3NzRkNjQzN2Y4OTlkMDdhYmVmZTIzZWZkOTFjOGYiLCJ1c2VySWQiOiIzMDkyMjY5MDQifQ==</vt:lpwstr>
  </property>
</Properties>
</file>